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991F0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 w:firstLine="210" w:firstLineChars="100"/>
        <w:jc w:val="both"/>
        <w:rPr>
          <w:rFonts w:hint="default" w:ascii="Times New Roman" w:hAnsi="Times New Roman" w:eastAsia="等线" w:cs="Times New Roman"/>
          <w:sz w:val="22"/>
          <w:szCs w:val="22"/>
          <w:lang w:val="en-US" w:bidi="ar"/>
        </w:rPr>
      </w:pPr>
      <w:r>
        <w:rPr>
          <w:rFonts w:hint="eastAsia" w:ascii="等线" w:hAnsi="等线" w:eastAsia="等线" w:cs="Times New Roman"/>
          <w:kern w:val="2"/>
          <w:sz w:val="21"/>
          <w:szCs w:val="24"/>
          <w:lang w:val="en-US" w:eastAsia="zh-CN" w:bidi="ar"/>
        </w:rPr>
        <w:drawing>
          <wp:inline distT="0" distB="0" distL="114300" distR="114300">
            <wp:extent cx="5273040" cy="5882640"/>
            <wp:effectExtent l="0" t="0" r="0" b="0"/>
            <wp:docPr id="1" name="图片 1" descr="gcl序列比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cl序列比对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88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default" w:ascii="Times New Roman" w:hAnsi="Times New Roman" w:eastAsia="等线" w:cs="Times New Roman"/>
          <w:b/>
          <w:bCs/>
          <w:kern w:val="2"/>
          <w:sz w:val="22"/>
          <w:szCs w:val="22"/>
          <w:lang w:val="en-US" w:eastAsia="zh-CN" w:bidi="ar"/>
        </w:rPr>
        <w:t>Alignment of Glutamate-cysteine ligase (GCL) amino acid sequences</w:t>
      </w: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 xml:space="preserve"> </w:t>
      </w:r>
    </w:p>
    <w:p w14:paraId="7CDC2909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 w:firstLine="220" w:firstLineChars="100"/>
        <w:jc w:val="both"/>
        <w:rPr>
          <w:rFonts w:hint="default" w:ascii="Times New Roman" w:hAnsi="Times New Roman" w:cs="Times New Roman"/>
          <w:szCs w:val="21"/>
          <w:lang w:val="en-US"/>
        </w:rPr>
      </w:pP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 xml:space="preserve">The sequence of GCL in </w:t>
      </w:r>
      <w:r>
        <w:rPr>
          <w:rFonts w:hint="default" w:ascii="Times New Roman" w:hAnsi="Times New Roman" w:eastAsia="等线" w:cs="Times New Roman"/>
          <w:i/>
          <w:iCs/>
          <w:kern w:val="2"/>
          <w:sz w:val="22"/>
          <w:szCs w:val="22"/>
          <w:lang w:val="en-US" w:eastAsia="zh-CN" w:bidi="ar"/>
        </w:rPr>
        <w:t xml:space="preserve">Laodelphax striatellus </w:t>
      </w: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 xml:space="preserve">was compared to those of </w:t>
      </w:r>
      <w:r>
        <w:rPr>
          <w:rFonts w:hint="default" w:ascii="Times New Roman" w:hAnsi="Times New Roman" w:eastAsia="等线" w:cs="Times New Roman"/>
          <w:i/>
          <w:iCs/>
          <w:kern w:val="2"/>
          <w:sz w:val="22"/>
          <w:szCs w:val="22"/>
          <w:lang w:val="en-US" w:eastAsia="zh-CN" w:bidi="ar"/>
        </w:rPr>
        <w:t>Drosophila melanogaster</w:t>
      </w: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 xml:space="preserve">, </w:t>
      </w:r>
      <w:r>
        <w:rPr>
          <w:rFonts w:hint="default" w:ascii="Times New Roman" w:hAnsi="Times New Roman" w:eastAsia="等线" w:cs="Times New Roman"/>
          <w:i/>
          <w:iCs/>
          <w:kern w:val="2"/>
          <w:sz w:val="22"/>
          <w:szCs w:val="22"/>
          <w:lang w:val="en-US" w:eastAsia="zh-CN" w:bidi="ar"/>
        </w:rPr>
        <w:t>Bombyx mori</w:t>
      </w: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>,</w:t>
      </w:r>
      <w:r>
        <w:rPr>
          <w:rFonts w:hint="default" w:ascii="Times New Roman" w:hAnsi="Times New Roman" w:eastAsia="等线" w:cs="Times New Roman"/>
          <w:i/>
          <w:iCs/>
          <w:kern w:val="2"/>
          <w:sz w:val="22"/>
          <w:szCs w:val="22"/>
          <w:lang w:val="en-US" w:eastAsia="zh-CN" w:bidi="ar"/>
        </w:rPr>
        <w:t xml:space="preserve"> Caenorhabditis elegans,</w:t>
      </w: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 xml:space="preserve"> and </w:t>
      </w:r>
      <w:r>
        <w:rPr>
          <w:rFonts w:hint="default" w:ascii="Times New Roman" w:hAnsi="Times New Roman" w:eastAsia="等线" w:cs="Times New Roman"/>
          <w:i/>
          <w:iCs/>
          <w:kern w:val="2"/>
          <w:sz w:val="22"/>
          <w:szCs w:val="22"/>
          <w:lang w:val="en-US" w:eastAsia="zh-CN" w:bidi="ar"/>
        </w:rPr>
        <w:t>Homo sapiens,</w:t>
      </w:r>
      <w:r>
        <w:rPr>
          <w:rFonts w:hint="default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 xml:space="preserve"> and the accession numbers of these proteins on NCBI are Q9W3K5.1, BDP27722.1, Q20117.2, and P48506.2 respectively. Blue shadow = glutamate-binding; Pink shadow = magnesium-binding; Purple Frame = ATP/ADP-binding; Green Frame = cysteine-binding; Red Frame = conserved cysteine</w:t>
      </w:r>
    </w:p>
    <w:p w14:paraId="44731DF5"/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4A357E"/>
    <w:rsid w:val="364A357E"/>
    <w:rsid w:val="4385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2026-10-01T11:56:00Z</dcterms:created>
  <dc:creator>张海南</dc:creator>
  <cp:lastModifiedBy>张海南</cp:lastModifiedBy>
  <dcterms:modified xsi:type="dcterms:W3CDTF">2026-10-01T12:01:40Z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8AF60DE74B374B96936FD1FC290DC8F6_11</vt:lpwstr>
  </property>
  <property fmtid="{D5CDD505-2E9C-101B-9397-08002B2CF9AE}" pid="4" name="KSOTemplateDocerSaveRecord">
    <vt:lpwstr>eyJoZGlkIjoiNWJjNGU4ODExMjcxNDg3ZTk5OTJiZGQ2MTJjYjFiZTEiLCJ1c2VySWQiOiIyNTYxNTU0MDMifQ==</vt:lpwstr>
  </property>
</Properties>
</file>