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78F1B" w14:textId="1FF5B209" w:rsidR="002A2E46" w:rsidRDefault="00967632" w:rsidP="002A2E46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BBD2EB" wp14:editId="5D9233E3">
                <wp:simplePos x="0" y="0"/>
                <wp:positionH relativeFrom="margin">
                  <wp:align>center</wp:align>
                </wp:positionH>
                <wp:positionV relativeFrom="paragraph">
                  <wp:posOffset>2052204</wp:posOffset>
                </wp:positionV>
                <wp:extent cx="3082636" cy="557646"/>
                <wp:effectExtent l="19050" t="19050" r="2286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636" cy="5576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0D4F2" id="Rectangle 6" o:spid="_x0000_s1026" style="position:absolute;margin-left:0;margin-top:161.6pt;width:242.75pt;height:43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" filled="f" strokecolor="red" strokeweight="3pt">
                <w10:wrap anchorx="margin"/>
              </v:rect>
            </w:pict>
          </mc:Fallback>
        </mc:AlternateContent>
      </w:r>
      <w:r w:rsidR="002A2E46">
        <w:rPr>
          <w:rFonts w:ascii="Arial" w:hAnsi="Arial" w:cs="Arial"/>
          <w:b/>
          <w:bCs/>
          <w:noProof/>
        </w:rPr>
        <w:drawing>
          <wp:inline distT="0" distB="0" distL="0" distR="0" wp14:anchorId="00B67D67" wp14:editId="2A90C9CD">
            <wp:extent cx="5058803" cy="4446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08"/>
                    <a:stretch/>
                  </pic:blipFill>
                  <pic:spPr bwMode="auto">
                    <a:xfrm>
                      <a:off x="0" y="0"/>
                      <a:ext cx="5058803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D0B5F" w14:textId="6B18F814" w:rsidR="00260510" w:rsidRDefault="00260510" w:rsidP="00260510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 w:rsidR="00967632">
        <w:rPr>
          <w:rFonts w:ascii="Arial" w:hAnsi="Arial" w:cs="Arial"/>
          <w:b/>
          <w:bCs/>
        </w:rPr>
        <w:t>B –</w:t>
      </w:r>
      <w:r>
        <w:rPr>
          <w:rFonts w:ascii="Arial" w:hAnsi="Arial" w:cs="Arial"/>
          <w:b/>
          <w:bCs/>
        </w:rPr>
        <w:t xml:space="preserve"> Source Data 1</w:t>
      </w:r>
      <w:r w:rsidR="00967632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3B, upper panel. </w:t>
      </w:r>
      <w:r>
        <w:rPr>
          <w:rFonts w:ascii="Arial" w:hAnsi="Arial" w:cs="Arial"/>
        </w:rPr>
        <w:t xml:space="preserve">Using the basal U2OStx line and the stable cell line generated to induce either wild-type CK1δ1, kinase-dead CK1δ1 (CK1δ1-K38R), and tau-like CK1δ1 (CK1δ1-R178Q), cells were treated with either PBS (negative control) or DOX (doxycycline) to induce protein expression. Resulting blots were decorated with anti-FLAG antibody to detect overexpressed CK1δ1. </w:t>
      </w:r>
    </w:p>
    <w:p w14:paraId="38DB9782" w14:textId="5BB2C13A" w:rsidR="00967632" w:rsidRDefault="00967632" w:rsidP="00967632">
      <w:pPr>
        <w:jc w:val="center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117FB" wp14:editId="73ABC6C7">
                <wp:simplePos x="0" y="0"/>
                <wp:positionH relativeFrom="column">
                  <wp:posOffset>975015</wp:posOffset>
                </wp:positionH>
                <wp:positionV relativeFrom="paragraph">
                  <wp:posOffset>2299855</wp:posOffset>
                </wp:positionV>
                <wp:extent cx="3082636" cy="557646"/>
                <wp:effectExtent l="19050" t="19050" r="2286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636" cy="5576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D0CEA" id="Rectangle 5" o:spid="_x0000_s1026" style="position:absolute;margin-left:76.75pt;margin-top:181.1pt;width:242.75pt;height:4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11D3320" wp14:editId="783F0619">
            <wp:extent cx="5731510" cy="49688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2FC4" w14:textId="59F6C60E" w:rsidR="00967632" w:rsidRPr="00260510" w:rsidRDefault="00967632" w:rsidP="0096763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  <w:b/>
          <w:bCs/>
        </w:rPr>
        <w:t>B –</w:t>
      </w:r>
      <w:r>
        <w:rPr>
          <w:rFonts w:ascii="Arial" w:hAnsi="Arial" w:cs="Arial"/>
          <w:b/>
          <w:bCs/>
        </w:rPr>
        <w:t xml:space="preserve"> Source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Data </w:t>
      </w:r>
      <w:r>
        <w:rPr>
          <w:rFonts w:ascii="Arial" w:hAnsi="Arial" w:cs="Arial"/>
          <w:b/>
          <w:bCs/>
        </w:rPr>
        <w:t>1b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3B, </w:t>
      </w:r>
      <w:r>
        <w:rPr>
          <w:rFonts w:ascii="Arial" w:hAnsi="Arial" w:cs="Arial"/>
        </w:rPr>
        <w:t xml:space="preserve">lower </w:t>
      </w:r>
      <w:r w:rsidRPr="00260510">
        <w:rPr>
          <w:rFonts w:ascii="Arial" w:hAnsi="Arial" w:cs="Arial"/>
        </w:rPr>
        <w:t xml:space="preserve"> panel. </w:t>
      </w:r>
      <w:r>
        <w:rPr>
          <w:rFonts w:ascii="Arial" w:hAnsi="Arial" w:cs="Arial"/>
        </w:rPr>
        <w:t xml:space="preserve">Using the basal U2OStx line and the stable cell line generated to induce either wild-type CK1δ1, kinase-dead CK1δ1 (CK1δ1-K38R), and tau-like CK1δ1 (CK1δ1-R178Q), cells were treated with either PBS (negative control) or DOX (doxycycline) to induce protein expression. Resulting blots were decorated with anti-CK1δ antibody (abcam, ab85320) to detect both endogenous and overexpressed CK1δ1. </w:t>
      </w:r>
    </w:p>
    <w:p w14:paraId="2E454E5E" w14:textId="37F204D0" w:rsidR="00967632" w:rsidRDefault="0096763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764191" w14:textId="725AC2A3" w:rsidR="00967632" w:rsidRDefault="00967632" w:rsidP="009676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9ED44" wp14:editId="79915CE8">
                <wp:simplePos x="0" y="0"/>
                <wp:positionH relativeFrom="column">
                  <wp:posOffset>626918</wp:posOffset>
                </wp:positionH>
                <wp:positionV relativeFrom="paragraph">
                  <wp:posOffset>1795896</wp:posOffset>
                </wp:positionV>
                <wp:extent cx="3719945" cy="557646"/>
                <wp:effectExtent l="19050" t="19050" r="1397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945" cy="5576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CBD1E" id="Rectangle 3" o:spid="_x0000_s1026" style="position:absolute;margin-left:49.35pt;margin-top:141.4pt;width:292.9pt;height:4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81F0BB" wp14:editId="43FD36BC">
            <wp:extent cx="5731510" cy="3199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1545" w14:textId="6031F545" w:rsidR="00967632" w:rsidRDefault="00967632" w:rsidP="0096763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  <w:b/>
          <w:bCs/>
        </w:rPr>
        <w:t>C –</w:t>
      </w:r>
      <w:r>
        <w:rPr>
          <w:rFonts w:ascii="Arial" w:hAnsi="Arial" w:cs="Arial"/>
          <w:b/>
          <w:bCs/>
        </w:rPr>
        <w:t xml:space="preserve"> Source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Data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>Original film corresponding to Figure 3</w:t>
      </w:r>
      <w:r>
        <w:rPr>
          <w:rFonts w:ascii="Arial" w:hAnsi="Arial" w:cs="Arial"/>
        </w:rPr>
        <w:t>C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Wild-type CK1δ1, kinase-dead CK1δ1 (CK1δ1-K38R), and tau-like CK1δ1 (CK1δ1-R178Q) were induced and treated with CHX to arrest protein translation and assess the stability of the kinase. Resulting blots were decorated with anti-FLAG antibody. </w:t>
      </w:r>
    </w:p>
    <w:p w14:paraId="779B3E6A" w14:textId="77777777" w:rsidR="00967632" w:rsidRDefault="0096763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4C31AD" w14:textId="233E93A5" w:rsidR="00967632" w:rsidRDefault="00967632" w:rsidP="009676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2F2B1" wp14:editId="3A0BE528">
                <wp:simplePos x="0" y="0"/>
                <wp:positionH relativeFrom="column">
                  <wp:posOffset>907473</wp:posOffset>
                </wp:positionH>
                <wp:positionV relativeFrom="paragraph">
                  <wp:posOffset>2592533</wp:posOffset>
                </wp:positionV>
                <wp:extent cx="2791691" cy="753052"/>
                <wp:effectExtent l="19050" t="19050" r="2794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753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3089C" id="Rectangle 11" o:spid="_x0000_s1026" style="position:absolute;margin-left:71.45pt;margin-top:204.15pt;width:219.8pt;height:5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F383464" wp14:editId="0A3EBBCD">
            <wp:extent cx="5731510" cy="53282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9377" w14:textId="66AA0A87" w:rsidR="00967632" w:rsidRDefault="00967632" w:rsidP="0096763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 xml:space="preserve"> – Source Data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</w:t>
      </w:r>
      <w:r>
        <w:rPr>
          <w:rFonts w:ascii="Arial" w:hAnsi="Arial" w:cs="Arial"/>
        </w:rPr>
        <w:t>Figure 3D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U2OStx cells were treated with CHX and protein samples were for immunoblotting. The blot was decorated with anti-CK1δ antibody. </w:t>
      </w:r>
    </w:p>
    <w:p w14:paraId="2462D90D" w14:textId="77777777" w:rsidR="00967632" w:rsidRDefault="0096763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696485" w14:textId="64EBAD5B" w:rsidR="00967632" w:rsidRDefault="00967632" w:rsidP="0096763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65CCB" wp14:editId="27A9AA1D">
                <wp:simplePos x="0" y="0"/>
                <wp:positionH relativeFrom="column">
                  <wp:posOffset>1297132</wp:posOffset>
                </wp:positionH>
                <wp:positionV relativeFrom="paragraph">
                  <wp:posOffset>3063586</wp:posOffset>
                </wp:positionV>
                <wp:extent cx="2332297" cy="968087"/>
                <wp:effectExtent l="19050" t="19050" r="1143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297" cy="9680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0023" id="Rectangle 12" o:spid="_x0000_s1026" style="position:absolute;margin-left:102.15pt;margin-top:241.25pt;width:183.65pt;height: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0A45789" wp14:editId="1BBF1137">
            <wp:extent cx="4079600" cy="563733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2"/>
                    <a:stretch/>
                  </pic:blipFill>
                  <pic:spPr bwMode="auto">
                    <a:xfrm>
                      <a:off x="0" y="0"/>
                      <a:ext cx="4081566" cy="56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2418B" w14:textId="765460A7" w:rsidR="00967632" w:rsidRPr="00260510" w:rsidRDefault="00967632" w:rsidP="0096763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  <w:b/>
          <w:bCs/>
        </w:rPr>
        <w:t xml:space="preserve">F – </w:t>
      </w:r>
      <w:r>
        <w:rPr>
          <w:rFonts w:ascii="Arial" w:hAnsi="Arial" w:cs="Arial"/>
          <w:b/>
          <w:bCs/>
        </w:rPr>
        <w:t>Source Data</w:t>
      </w:r>
      <w:r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>Original film corresponding to Figure 3</w:t>
      </w:r>
      <w:r>
        <w:rPr>
          <w:rFonts w:ascii="Arial" w:hAnsi="Arial" w:cs="Arial"/>
        </w:rPr>
        <w:t xml:space="preserve">F. U2OStx and U2OStx_CK1δ were treated with PF670 and protein samples were extracted to assess  CK1δ stability. Resulting blots were decorated with anti-CK1δ antibody. </w:t>
      </w:r>
    </w:p>
    <w:p w14:paraId="4FD95BD2" w14:textId="1B2B4AC8" w:rsidR="00967632" w:rsidRDefault="00967632">
      <w:r>
        <w:br w:type="page"/>
      </w:r>
    </w:p>
    <w:p w14:paraId="34169713" w14:textId="46FBF10A" w:rsidR="00967632" w:rsidRDefault="00967632" w:rsidP="009676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AE280" wp14:editId="5620A36C">
                <wp:simplePos x="0" y="0"/>
                <wp:positionH relativeFrom="column">
                  <wp:posOffset>491836</wp:posOffset>
                </wp:positionH>
                <wp:positionV relativeFrom="paragraph">
                  <wp:posOffset>2249631</wp:posOffset>
                </wp:positionV>
                <wp:extent cx="3347605" cy="477751"/>
                <wp:effectExtent l="19050" t="19050" r="2476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605" cy="4777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989A5" id="Rectangle 15" o:spid="_x0000_s1026" style="position:absolute;margin-left:38.75pt;margin-top:177.15pt;width:263.6pt;height:3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C58666F" wp14:editId="265E8645">
            <wp:extent cx="5732780" cy="4969510"/>
            <wp:effectExtent l="0" t="0" r="127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783C" w14:textId="1F1473E1" w:rsidR="00967632" w:rsidRPr="00260510" w:rsidRDefault="00967632" w:rsidP="0096763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</w:rPr>
        <w:t xml:space="preserve"> – Source Data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</w:t>
      </w:r>
      <w:r>
        <w:rPr>
          <w:rFonts w:ascii="Arial" w:hAnsi="Arial" w:cs="Arial"/>
        </w:rPr>
        <w:t>Figure 3G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U2OStx, U2OStx_CK1δ and U2OStx_CK1δ-K38R cells were treated with MG132 and protein samples were extracted for immunoblotting. The blot was decorated with anti-CK1δ antibody. </w:t>
      </w:r>
    </w:p>
    <w:p w14:paraId="7D4788CF" w14:textId="77777777" w:rsidR="00967632" w:rsidRDefault="00967632" w:rsidP="00967632"/>
    <w:p w14:paraId="66E09BB1" w14:textId="77777777" w:rsidR="00967632" w:rsidRDefault="00967632" w:rsidP="00967632"/>
    <w:p w14:paraId="06B847E0" w14:textId="77777777" w:rsidR="00967632" w:rsidRPr="00260510" w:rsidRDefault="00967632" w:rsidP="00967632">
      <w:pPr>
        <w:rPr>
          <w:rFonts w:ascii="Arial" w:hAnsi="Arial" w:cs="Arial"/>
        </w:rPr>
      </w:pPr>
    </w:p>
    <w:p w14:paraId="1697F900" w14:textId="77777777" w:rsidR="00967632" w:rsidRDefault="00967632" w:rsidP="00967632"/>
    <w:p w14:paraId="6416F7EC" w14:textId="77777777" w:rsidR="00967632" w:rsidRPr="00260510" w:rsidRDefault="00967632" w:rsidP="00967632">
      <w:pPr>
        <w:rPr>
          <w:rFonts w:ascii="Arial" w:hAnsi="Arial" w:cs="Arial"/>
        </w:rPr>
      </w:pPr>
    </w:p>
    <w:p w14:paraId="4E42B761" w14:textId="77777777" w:rsidR="00967632" w:rsidRDefault="00967632" w:rsidP="00967632"/>
    <w:p w14:paraId="5AAF689E" w14:textId="77777777" w:rsidR="00967632" w:rsidRPr="00C71A54" w:rsidRDefault="00967632" w:rsidP="00967632">
      <w:pPr>
        <w:rPr>
          <w:rFonts w:ascii="Arial" w:hAnsi="Arial" w:cs="Arial"/>
        </w:rPr>
      </w:pPr>
    </w:p>
    <w:p w14:paraId="33DC2FA9" w14:textId="77777777" w:rsidR="00967632" w:rsidRDefault="00967632" w:rsidP="00967632"/>
    <w:p w14:paraId="2D82303E" w14:textId="77777777" w:rsidR="00967632" w:rsidRPr="00260510" w:rsidRDefault="00967632" w:rsidP="00260510">
      <w:pPr>
        <w:rPr>
          <w:rFonts w:ascii="Arial" w:hAnsi="Arial" w:cs="Arial"/>
        </w:rPr>
      </w:pPr>
    </w:p>
    <w:p w14:paraId="3849AEB3" w14:textId="77777777" w:rsidR="00C71A54" w:rsidRDefault="00C71A54" w:rsidP="002A2E46">
      <w:pPr>
        <w:jc w:val="center"/>
        <w:rPr>
          <w:rFonts w:ascii="Arial" w:hAnsi="Arial" w:cs="Arial"/>
          <w:b/>
          <w:bCs/>
        </w:rPr>
      </w:pPr>
    </w:p>
    <w:sectPr w:rsidR="00C71A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E46"/>
    <w:rsid w:val="00260510"/>
    <w:rsid w:val="002A2E46"/>
    <w:rsid w:val="005700AD"/>
    <w:rsid w:val="00967632"/>
    <w:rsid w:val="00C7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D5DDB3"/>
  <w15:chartTrackingRefBased/>
  <w15:docId w15:val="{AC9D69C4-642B-4640-912F-ED103434F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Serrano</dc:creator>
  <cp:keywords/>
  <dc:description/>
  <cp:lastModifiedBy>Fidel Serrano</cp:lastModifiedBy>
  <cp:revision>2</cp:revision>
  <dcterms:created xsi:type="dcterms:W3CDTF">2026-05-18T14:43:00Z</dcterms:created>
  <dcterms:modified xsi:type="dcterms:W3CDTF">2026-05-18T14:43:00Z</dcterms:modified>
</cp:coreProperties>
</file>