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E4C41" w14:textId="11B09EE7" w:rsidR="005700AD" w:rsidRDefault="00C818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0D6E9" wp14:editId="14DA71F7">
                <wp:simplePos x="0" y="0"/>
                <wp:positionH relativeFrom="column">
                  <wp:posOffset>821014</wp:posOffset>
                </wp:positionH>
                <wp:positionV relativeFrom="paragraph">
                  <wp:posOffset>1664970</wp:posOffset>
                </wp:positionV>
                <wp:extent cx="1882762" cy="657225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762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21B43F" id="Rectangle 4" o:spid="_x0000_s1026" style="position:absolute;margin-left:64.65pt;margin-top:131.1pt;width:148.25pt;height:5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556C6" wp14:editId="286E105D">
                <wp:simplePos x="0" y="0"/>
                <wp:positionH relativeFrom="column">
                  <wp:posOffset>782104</wp:posOffset>
                </wp:positionH>
                <wp:positionV relativeFrom="paragraph">
                  <wp:posOffset>3026842</wp:posOffset>
                </wp:positionV>
                <wp:extent cx="1921672" cy="494571"/>
                <wp:effectExtent l="19050" t="19050" r="21590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672" cy="4945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50B82" id="Rectangle 5" o:spid="_x0000_s1026" style="position:absolute;margin-left:61.6pt;margin-top:238.35pt;width:151.3pt;height: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" filled="f" strokecolor="red" strokeweight="3pt"/>
            </w:pict>
          </mc:Fallback>
        </mc:AlternateContent>
      </w:r>
      <w:r w:rsidR="00BB4DFF">
        <w:rPr>
          <w:noProof/>
        </w:rPr>
        <w:drawing>
          <wp:inline distT="0" distB="0" distL="0" distR="0" wp14:anchorId="00C74B2A" wp14:editId="0696C685">
            <wp:extent cx="5731510" cy="47472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9ABE" w14:textId="4EAD02D4" w:rsidR="00B327D7" w:rsidRDefault="00BE466B" w:rsidP="00BE466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</w:t>
      </w:r>
      <w:r w:rsidR="007612FB">
        <w:rPr>
          <w:rFonts w:ascii="Arial" w:hAnsi="Arial" w:cs="Arial"/>
          <w:b/>
          <w:bCs/>
        </w:rPr>
        <w:t>6</w:t>
      </w:r>
      <w:r w:rsidR="00B327D7"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>, Source Data</w:t>
      </w:r>
      <w:r w:rsidR="00B327D7">
        <w:rPr>
          <w:rFonts w:ascii="Arial" w:hAnsi="Arial" w:cs="Arial"/>
          <w:b/>
          <w:bCs/>
        </w:rPr>
        <w:t xml:space="preserve"> 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</w:t>
      </w:r>
      <w:r w:rsidR="002204CA">
        <w:rPr>
          <w:rFonts w:ascii="Arial" w:hAnsi="Arial" w:cs="Arial"/>
        </w:rPr>
        <w:t>6</w:t>
      </w:r>
      <w:r w:rsidR="00BB4DFF">
        <w:rPr>
          <w:rFonts w:ascii="Arial" w:hAnsi="Arial" w:cs="Arial"/>
        </w:rPr>
        <w:t>C</w:t>
      </w:r>
      <w:r w:rsidR="002204CA">
        <w:rPr>
          <w:rFonts w:ascii="Arial" w:hAnsi="Arial" w:cs="Arial"/>
        </w:rPr>
        <w:t xml:space="preserve">. </w:t>
      </w:r>
      <w:r w:rsidR="00A51382">
        <w:rPr>
          <w:rFonts w:ascii="Arial" w:hAnsi="Arial" w:cs="Arial"/>
        </w:rPr>
        <w:t>HEK293T cells were transfected with PER2</w:t>
      </w:r>
      <w:r w:rsidR="00BB4DFF">
        <w:rPr>
          <w:rFonts w:ascii="Arial" w:hAnsi="Arial" w:cs="Arial"/>
        </w:rPr>
        <w:t xml:space="preserve"> and CRY1</w:t>
      </w:r>
      <w:r w:rsidR="00A51382">
        <w:rPr>
          <w:rFonts w:ascii="Arial" w:hAnsi="Arial" w:cs="Arial"/>
        </w:rPr>
        <w:t xml:space="preserve">, </w:t>
      </w:r>
      <w:r w:rsidR="00BB4DFF">
        <w:rPr>
          <w:rFonts w:ascii="Arial" w:hAnsi="Arial" w:cs="Arial"/>
        </w:rPr>
        <w:t xml:space="preserve">protein was extracted and used for an </w:t>
      </w:r>
      <w:r w:rsidR="00BB4DFF" w:rsidRPr="00BB4DFF">
        <w:rPr>
          <w:rFonts w:ascii="Arial" w:hAnsi="Arial" w:cs="Arial"/>
          <w:i/>
          <w:iCs/>
        </w:rPr>
        <w:t>in vitro</w:t>
      </w:r>
      <w:r w:rsidR="00BB4DFF">
        <w:rPr>
          <w:rFonts w:ascii="Arial" w:hAnsi="Arial" w:cs="Arial"/>
        </w:rPr>
        <w:t xml:space="preserve"> phosphorylation reaction with CK1δ</w:t>
      </w:r>
      <w:r w:rsidR="00A51382">
        <w:rPr>
          <w:rFonts w:ascii="Arial" w:hAnsi="Arial" w:cs="Arial"/>
        </w:rPr>
        <w:t>.</w:t>
      </w:r>
      <w:r w:rsidR="00BB4DFF">
        <w:rPr>
          <w:rFonts w:ascii="Arial" w:hAnsi="Arial" w:cs="Arial"/>
        </w:rPr>
        <w:t xml:space="preserve"> The resulting extract was then used for a V5 IP to precipitate V5-PER2 and probe for interacting CRY1-FLAG. </w:t>
      </w:r>
      <w:r w:rsidR="002204CA">
        <w:rPr>
          <w:rFonts w:ascii="Arial" w:hAnsi="Arial" w:cs="Arial"/>
        </w:rPr>
        <w:t>The top half of the blot was decorated with anti-</w:t>
      </w:r>
      <w:r w:rsidR="00A51382">
        <w:rPr>
          <w:rFonts w:ascii="Arial" w:hAnsi="Arial" w:cs="Arial"/>
        </w:rPr>
        <w:t xml:space="preserve">V5 </w:t>
      </w:r>
      <w:r w:rsidR="002204CA">
        <w:rPr>
          <w:rFonts w:ascii="Arial" w:hAnsi="Arial" w:cs="Arial"/>
        </w:rPr>
        <w:t>antibody and the lower half was decorated with anti-</w:t>
      </w:r>
      <w:r w:rsidR="00A51382">
        <w:rPr>
          <w:rFonts w:ascii="Arial" w:hAnsi="Arial" w:cs="Arial"/>
        </w:rPr>
        <w:t>FLAG</w:t>
      </w:r>
      <w:r w:rsidR="002204CA">
        <w:rPr>
          <w:rFonts w:ascii="Arial" w:hAnsi="Arial" w:cs="Arial"/>
        </w:rPr>
        <w:t xml:space="preserve">. </w:t>
      </w:r>
    </w:p>
    <w:p w14:paraId="060977F0" w14:textId="77777777" w:rsidR="00B327D7" w:rsidRDefault="00B327D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FCB9940" w14:textId="2A8D9BE9" w:rsidR="00B327D7" w:rsidRDefault="00C818F1" w:rsidP="00B327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2FCC8" wp14:editId="3B829854">
                <wp:simplePos x="0" y="0"/>
                <wp:positionH relativeFrom="column">
                  <wp:posOffset>610492</wp:posOffset>
                </wp:positionH>
                <wp:positionV relativeFrom="paragraph">
                  <wp:posOffset>1797266</wp:posOffset>
                </wp:positionV>
                <wp:extent cx="2988742" cy="560719"/>
                <wp:effectExtent l="19050" t="19050" r="2159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742" cy="560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1DF4" id="Rectangle 6" o:spid="_x0000_s1026" style="position:absolute;margin-left:48.05pt;margin-top:141.5pt;width:235.35pt;height:4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" filled="f" strokecolor="red" strokeweight="3pt"/>
            </w:pict>
          </mc:Fallback>
        </mc:AlternateContent>
      </w:r>
      <w:r w:rsidR="00B327D7">
        <w:rPr>
          <w:noProof/>
        </w:rPr>
        <w:drawing>
          <wp:inline distT="0" distB="0" distL="0" distR="0" wp14:anchorId="7BD421E1" wp14:editId="1424B5C5">
            <wp:extent cx="5731510" cy="43230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0FAD" w14:textId="161F52A4" w:rsidR="00B327D7" w:rsidRPr="00260510" w:rsidRDefault="00B327D7" w:rsidP="00B327D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6E, Source Data 1. </w:t>
      </w:r>
      <w:r w:rsidRPr="00260510">
        <w:rPr>
          <w:rFonts w:ascii="Arial" w:hAnsi="Arial" w:cs="Arial"/>
        </w:rPr>
        <w:t xml:space="preserve">Original film corresponding to Figure </w:t>
      </w:r>
      <w:r>
        <w:rPr>
          <w:rFonts w:ascii="Arial" w:hAnsi="Arial" w:cs="Arial"/>
        </w:rPr>
        <w:t xml:space="preserve">6E. HEK293T cells were transfected with PER2, CRY1, and CK1δ, treated with PF670, and underwent subcellular fractionation as indicated. The top half of the blot was decorated with anti-V5 antibody to detect PER2 and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the lower half was decorated with anti-FLAG to detect both CRY1 and CK1δ. </w:t>
      </w:r>
    </w:p>
    <w:p w14:paraId="063D618D" w14:textId="4AB2219D" w:rsidR="00B327D7" w:rsidRDefault="00B327D7">
      <w:r>
        <w:br w:type="page"/>
      </w:r>
    </w:p>
    <w:p w14:paraId="7AE0760A" w14:textId="4488BEB7" w:rsidR="00B327D7" w:rsidRDefault="00C818F1" w:rsidP="00B327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95456" wp14:editId="3F5C0CB9">
                <wp:simplePos x="0" y="0"/>
                <wp:positionH relativeFrom="column">
                  <wp:posOffset>882866</wp:posOffset>
                </wp:positionH>
                <wp:positionV relativeFrom="paragraph">
                  <wp:posOffset>1236952</wp:posOffset>
                </wp:positionV>
                <wp:extent cx="2891466" cy="416749"/>
                <wp:effectExtent l="19050" t="19050" r="23495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466" cy="4167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F938F" id="Rectangle 7" o:spid="_x0000_s1026" style="position:absolute;margin-left:69.5pt;margin-top:97.4pt;width:227.65pt;height:3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" filled="f" strokecolor="red" strokeweight="3pt"/>
            </w:pict>
          </mc:Fallback>
        </mc:AlternateContent>
      </w:r>
      <w:r w:rsidR="00B327D7">
        <w:rPr>
          <w:noProof/>
        </w:rPr>
        <w:drawing>
          <wp:inline distT="0" distB="0" distL="0" distR="0" wp14:anchorId="195CF8DE" wp14:editId="1EC41213">
            <wp:extent cx="5731510" cy="3119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4B2E" w14:textId="2B1FF8AA" w:rsidR="00B327D7" w:rsidRPr="00260510" w:rsidRDefault="00B327D7" w:rsidP="00B327D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6F, Source Data 1. </w:t>
      </w:r>
      <w:r w:rsidRPr="00260510">
        <w:rPr>
          <w:rFonts w:ascii="Arial" w:hAnsi="Arial" w:cs="Arial"/>
        </w:rPr>
        <w:t xml:space="preserve">Original film corresponding to Figure </w:t>
      </w:r>
      <w:r>
        <w:rPr>
          <w:rFonts w:ascii="Arial" w:hAnsi="Arial" w:cs="Arial"/>
        </w:rPr>
        <w:t>6F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U2OStx cells were synchronized with dexamethasone (DEX) and protein samples were taken 4, 8, 12, and 16 h post-synchronization for immunoblotting. The top half of the blot was decorated with anti-hPER2 antibody (in-house) and the lower half was decorated with anti-β-tubulin as a subcellular fractionation control. </w:t>
      </w:r>
    </w:p>
    <w:p w14:paraId="4ED9ECC4" w14:textId="77777777" w:rsidR="00B327D7" w:rsidRDefault="00B327D7" w:rsidP="00B327D7"/>
    <w:p w14:paraId="2EC05B2E" w14:textId="77777777" w:rsidR="00B327D7" w:rsidRDefault="00B327D7" w:rsidP="00B327D7"/>
    <w:p w14:paraId="2E3A49DA" w14:textId="77777777" w:rsidR="00BE466B" w:rsidRPr="00260510" w:rsidRDefault="00BE466B" w:rsidP="00BE466B">
      <w:pPr>
        <w:rPr>
          <w:rFonts w:ascii="Arial" w:hAnsi="Arial" w:cs="Arial"/>
        </w:rPr>
      </w:pPr>
    </w:p>
    <w:p w14:paraId="38419F22" w14:textId="77777777" w:rsidR="00BE466B" w:rsidRDefault="00BE466B"/>
    <w:sectPr w:rsidR="00BE46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6B"/>
    <w:rsid w:val="001D19A9"/>
    <w:rsid w:val="002204CA"/>
    <w:rsid w:val="0024625B"/>
    <w:rsid w:val="00366AE1"/>
    <w:rsid w:val="005700AD"/>
    <w:rsid w:val="007612FB"/>
    <w:rsid w:val="00A51382"/>
    <w:rsid w:val="00B327D7"/>
    <w:rsid w:val="00BB4DFF"/>
    <w:rsid w:val="00BE466B"/>
    <w:rsid w:val="00C8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6A40B7"/>
  <w15:chartTrackingRefBased/>
  <w15:docId w15:val="{583E2DC5-0E58-42F8-B3C3-467B9401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Serrano</dc:creator>
  <cp:keywords/>
  <dc:description/>
  <cp:lastModifiedBy>Fidel Serrano</cp:lastModifiedBy>
  <cp:revision>3</cp:revision>
  <dcterms:created xsi:type="dcterms:W3CDTF">2026-05-18T13:57:00Z</dcterms:created>
  <dcterms:modified xsi:type="dcterms:W3CDTF">2026-05-18T15:09:00Z</dcterms:modified>
</cp:coreProperties>
</file>