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70CD2CF9" w:rsidR="00F102CC" w:rsidRPr="005C4058" w:rsidRDefault="00597FC7" w:rsidP="005C4058">
            <w:pPr>
              <w:pStyle w:val="Heading2"/>
              <w:spacing w:before="0" w:after="0"/>
              <w:rPr>
                <w:rFonts w:asciiTheme="majorHAnsi" w:hAnsiTheme="majorHAnsi" w:cstheme="majorHAnsi"/>
                <w:b w:val="0"/>
                <w:color w:val="222222"/>
                <w:sz w:val="21"/>
                <w:szCs w:val="21"/>
              </w:rPr>
            </w:pPr>
            <w:r>
              <w:rPr>
                <w:rFonts w:asciiTheme="majorHAnsi" w:eastAsia="Noto Sans" w:hAnsiTheme="majorHAnsi" w:cstheme="majorHAnsi"/>
                <w:b w:val="0"/>
                <w:color w:val="434343"/>
                <w:sz w:val="21"/>
                <w:szCs w:val="21"/>
              </w:rPr>
              <w:t>See</w:t>
            </w:r>
            <w:r w:rsidR="005C4058" w:rsidRPr="005C4058">
              <w:rPr>
                <w:rFonts w:asciiTheme="majorHAnsi" w:eastAsia="Noto Sans" w:hAnsiTheme="majorHAnsi" w:cstheme="majorHAnsi"/>
                <w:b w:val="0"/>
                <w:color w:val="434343"/>
                <w:sz w:val="21"/>
                <w:szCs w:val="21"/>
              </w:rPr>
              <w:t xml:space="preserve"> </w:t>
            </w:r>
            <w:r>
              <w:rPr>
                <w:rFonts w:asciiTheme="majorHAnsi" w:eastAsia="Noto Sans" w:hAnsiTheme="majorHAnsi" w:cstheme="majorHAnsi"/>
                <w:b w:val="0"/>
                <w:color w:val="434343"/>
                <w:sz w:val="21"/>
                <w:szCs w:val="21"/>
              </w:rPr>
              <w:t>“</w:t>
            </w:r>
            <w:r w:rsidR="005C4058" w:rsidRPr="005C4058">
              <w:rPr>
                <w:rFonts w:asciiTheme="majorHAnsi" w:hAnsiTheme="majorHAnsi" w:cstheme="majorHAnsi"/>
                <w:b w:val="0"/>
                <w:color w:val="222222"/>
                <w:sz w:val="21"/>
                <w:szCs w:val="21"/>
              </w:rPr>
              <w:t xml:space="preserve">Data </w:t>
            </w:r>
            <w:r w:rsidR="005C4058">
              <w:rPr>
                <w:rFonts w:asciiTheme="majorHAnsi" w:hAnsiTheme="majorHAnsi" w:cstheme="majorHAnsi"/>
                <w:b w:val="0"/>
                <w:color w:val="222222"/>
                <w:sz w:val="21"/>
                <w:szCs w:val="21"/>
              </w:rPr>
              <w:t>A</w:t>
            </w:r>
            <w:r w:rsidR="005C4058" w:rsidRPr="005C4058">
              <w:rPr>
                <w:rFonts w:asciiTheme="majorHAnsi" w:hAnsiTheme="majorHAnsi" w:cstheme="majorHAnsi"/>
                <w:b w:val="0"/>
                <w:color w:val="222222"/>
                <w:sz w:val="21"/>
                <w:szCs w:val="21"/>
              </w:rPr>
              <w:t>vailability</w:t>
            </w:r>
            <w:r>
              <w:rPr>
                <w:rFonts w:asciiTheme="majorHAnsi" w:hAnsiTheme="majorHAnsi" w:cstheme="majorHAnsi"/>
                <w:b w:val="0"/>
                <w:color w:val="222222"/>
                <w:sz w:val="21"/>
                <w:szCs w:val="21"/>
              </w:rPr>
              <w:t>” s</w:t>
            </w:r>
            <w:r w:rsidR="005C4058" w:rsidRPr="005C4058">
              <w:rPr>
                <w:rFonts w:asciiTheme="majorHAnsi" w:hAnsiTheme="majorHAnsi" w:cstheme="majorHAnsi"/>
                <w:b w:val="0"/>
                <w:color w:val="222222"/>
                <w:sz w:val="21"/>
                <w:szCs w:val="21"/>
              </w:rPr>
              <w:t>ection</w:t>
            </w:r>
            <w:r>
              <w:rPr>
                <w:rFonts w:asciiTheme="majorHAnsi" w:hAnsiTheme="majorHAnsi" w:cstheme="majorHAnsi"/>
                <w:b w:val="0"/>
                <w:color w:val="222222"/>
                <w:sz w:val="21"/>
                <w:szCs w:val="21"/>
              </w:rPr>
              <w:t xml:space="preserve">. </w:t>
            </w:r>
            <w:r w:rsidR="005C4058" w:rsidRPr="005C4058">
              <w:rPr>
                <w:rFonts w:asciiTheme="majorHAnsi" w:hAnsiTheme="majorHAnsi" w:cstheme="majorHAnsi"/>
                <w:b w:val="0"/>
                <w:color w:val="222222"/>
                <w:sz w:val="21"/>
                <w:szCs w:val="21"/>
              </w:rPr>
              <w:t xml:space="preserve">CEL-seq2 and ATAC-seq data for normal light condition are available in the NCBI database under </w:t>
            </w:r>
            <w:r w:rsidR="005C4058" w:rsidRPr="005C4058">
              <w:rPr>
                <w:rFonts w:asciiTheme="majorHAnsi" w:eastAsia="Roboto" w:hAnsiTheme="majorHAnsi" w:cstheme="majorHAnsi"/>
                <w:b w:val="0"/>
                <w:color w:val="212121"/>
                <w:sz w:val="21"/>
                <w:szCs w:val="21"/>
              </w:rPr>
              <w:t>BioProjects PRJNA1162246</w:t>
            </w:r>
            <w:r w:rsidR="005C4058" w:rsidRPr="005C4058">
              <w:rPr>
                <w:rFonts w:asciiTheme="majorHAnsi" w:hAnsiTheme="majorHAnsi" w:cstheme="majorHAnsi"/>
                <w:b w:val="0"/>
                <w:sz w:val="21"/>
                <w:szCs w:val="21"/>
              </w:rPr>
              <w:t xml:space="preserve"> and PRJNA1161795</w:t>
            </w:r>
            <w:r w:rsidR="005C4058" w:rsidRPr="005C4058">
              <w:rPr>
                <w:rFonts w:asciiTheme="majorHAnsi" w:eastAsia="SimSun" w:hAnsiTheme="majorHAnsi" w:cstheme="majorHAnsi"/>
                <w:b w:val="0"/>
                <w:sz w:val="21"/>
                <w:szCs w:val="21"/>
                <w:lang w:eastAsia="zh-CN"/>
              </w:rPr>
              <w:t xml:space="preserve">, </w:t>
            </w:r>
            <w:r w:rsidR="005C4058" w:rsidRPr="005C4058">
              <w:rPr>
                <w:rFonts w:asciiTheme="majorHAnsi" w:hAnsiTheme="majorHAnsi" w:cstheme="majorHAnsi"/>
                <w:b w:val="0"/>
                <w:sz w:val="21"/>
                <w:szCs w:val="21"/>
              </w:rPr>
              <w:t>respectively, and for constant light condition under BioProjects</w:t>
            </w:r>
            <w:r w:rsidR="005C4058" w:rsidRPr="005C4058">
              <w:rPr>
                <w:rFonts w:asciiTheme="majorHAnsi" w:hAnsiTheme="majorHAnsi" w:cstheme="majorHAnsi"/>
                <w:b w:val="0"/>
                <w:sz w:val="21"/>
                <w:szCs w:val="21"/>
                <w:lang w:eastAsia="zh-CN"/>
              </w:rPr>
              <w:t xml:space="preserve"> </w:t>
            </w:r>
            <w:r w:rsidR="005C4058" w:rsidRPr="005C4058">
              <w:rPr>
                <w:rFonts w:asciiTheme="majorHAnsi" w:eastAsia="SimSun" w:hAnsiTheme="majorHAnsi" w:cstheme="majorHAnsi"/>
                <w:b w:val="0"/>
                <w:sz w:val="21"/>
                <w:szCs w:val="21"/>
              </w:rPr>
              <w:t>PRJNA1394668</w:t>
            </w:r>
            <w:r w:rsidR="005C4058" w:rsidRPr="005C4058">
              <w:rPr>
                <w:rFonts w:asciiTheme="majorHAnsi" w:hAnsiTheme="majorHAnsi" w:cstheme="majorHAnsi"/>
                <w:b w:val="0"/>
                <w:sz w:val="21"/>
                <w:szCs w:val="21"/>
              </w:rPr>
              <w:t xml:space="preserve"> and PRJNA1394227</w:t>
            </w:r>
            <w:r w:rsidR="005C4058" w:rsidRPr="005C4058">
              <w:rPr>
                <w:rFonts w:asciiTheme="majorHAnsi" w:eastAsia="SimSun" w:hAnsiTheme="majorHAnsi" w:cstheme="majorHAnsi"/>
                <w:b w:val="0"/>
                <w:sz w:val="21"/>
                <w:szCs w:val="21"/>
                <w:lang w:eastAsia="zh-CN"/>
              </w:rPr>
              <w:t xml:space="preserve">, </w:t>
            </w:r>
            <w:r w:rsidR="005C4058" w:rsidRPr="005C4058">
              <w:rPr>
                <w:rFonts w:asciiTheme="majorHAnsi" w:hAnsiTheme="majorHAnsi" w:cstheme="majorHAnsi"/>
                <w:b w:val="0"/>
                <w:sz w:val="21"/>
                <w:szCs w:val="21"/>
              </w:rPr>
              <w:t>respectively.</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334797D8" w:rsidR="00F102CC" w:rsidRPr="003D5AF6" w:rsidRDefault="00F102CC">
            <w:pPr>
              <w:rPr>
                <w:rFonts w:ascii="Noto Sans" w:eastAsia="Noto Sans" w:hAnsi="Noto Sans" w:cs="Noto Sans"/>
                <w:bCs/>
                <w:color w:val="434343"/>
                <w:sz w:val="18"/>
                <w:szCs w:val="18"/>
              </w:rPr>
            </w:pP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176FBAF" w:rsidR="00F102CC" w:rsidRPr="005C4058" w:rsidRDefault="009839CD">
            <w:pPr>
              <w:rPr>
                <w:rFonts w:eastAsia="Noto Sans"/>
                <w:bCs/>
                <w:color w:val="434343"/>
                <w:sz w:val="21"/>
                <w:szCs w:val="21"/>
              </w:rPr>
            </w:pPr>
            <w:r w:rsidRPr="001A02DB">
              <w:rPr>
                <w:sz w:val="21"/>
                <w:szCs w:val="21"/>
              </w:rPr>
              <w:t xml:space="preserve">See </w:t>
            </w:r>
            <w:r>
              <w:rPr>
                <w:sz w:val="21"/>
                <w:szCs w:val="21"/>
              </w:rPr>
              <w:t>“</w:t>
            </w:r>
            <w:r w:rsidRPr="001A02DB">
              <w:rPr>
                <w:iCs/>
                <w:sz w:val="21"/>
                <w:szCs w:val="21"/>
                <w:lang w:val="en-GB"/>
              </w:rPr>
              <w:t>CEL-seq2 library construction, sequencing and analysis</w:t>
            </w:r>
            <w:r>
              <w:rPr>
                <w:iCs/>
                <w:sz w:val="21"/>
                <w:szCs w:val="21"/>
                <w:lang w:val="en-GB"/>
              </w:rPr>
              <w:t xml:space="preserve">” </w:t>
            </w:r>
            <w:r>
              <w:rPr>
                <w:iCs/>
                <w:sz w:val="21"/>
                <w:szCs w:val="21"/>
                <w:lang w:val="en-GB"/>
              </w:rPr>
              <w:t xml:space="preserve">and </w:t>
            </w:r>
            <w:r w:rsidRPr="001A02DB">
              <w:rPr>
                <w:bCs/>
                <w:sz w:val="21"/>
                <w:szCs w:val="21"/>
              </w:rPr>
              <w:t>“ATAC-seq library preparation, sequencing and analysis”</w:t>
            </w:r>
            <w:r>
              <w:rPr>
                <w:bCs/>
                <w:sz w:val="21"/>
                <w:szCs w:val="21"/>
              </w:rPr>
              <w:t xml:space="preserve"> </w:t>
            </w:r>
            <w:r w:rsidRPr="001A02DB">
              <w:rPr>
                <w:iCs/>
                <w:sz w:val="21"/>
                <w:szCs w:val="21"/>
                <w:lang w:val="en-GB"/>
              </w:rPr>
              <w:t>section</w:t>
            </w:r>
            <w:r>
              <w:rPr>
                <w:iCs/>
                <w:sz w:val="21"/>
                <w:szCs w:val="21"/>
                <w:lang w:val="en-GB"/>
              </w:rPr>
              <w:t>s</w:t>
            </w:r>
            <w:r w:rsidRPr="001A02DB">
              <w:rPr>
                <w:iCs/>
                <w:sz w:val="21"/>
                <w:szCs w:val="21"/>
                <w:lang w:val="en-GB"/>
              </w:rPr>
              <w:t xml:space="preserve"> of the Methods</w:t>
            </w:r>
            <w:r>
              <w:rPr>
                <w:iCs/>
                <w:sz w:val="21"/>
                <w:szCs w:val="21"/>
                <w:lang w:val="en-GB"/>
              </w:rPr>
              <w:t>.</w:t>
            </w:r>
            <w:r w:rsidRPr="001A02DB">
              <w:rPr>
                <w:sz w:val="21"/>
                <w:szCs w:val="21"/>
              </w:rPr>
              <w:t xml:space="preserve"> </w:t>
            </w:r>
            <w:r w:rsidR="005C4058" w:rsidRPr="005C4058">
              <w:rPr>
                <w:rFonts w:eastAsia="Noto Sans"/>
                <w:bCs/>
                <w:color w:val="000000" w:themeColor="text1"/>
                <w:sz w:val="21"/>
                <w:szCs w:val="21"/>
              </w:rPr>
              <w:t xml:space="preserve">Previous publications with detailed methods </w:t>
            </w:r>
            <w:r w:rsidR="00D9771F">
              <w:rPr>
                <w:rFonts w:eastAsia="Noto Sans"/>
                <w:bCs/>
                <w:color w:val="000000" w:themeColor="text1"/>
                <w:sz w:val="21"/>
                <w:szCs w:val="21"/>
              </w:rPr>
              <w:t>p</w:t>
            </w:r>
            <w:r w:rsidR="005C4058" w:rsidRPr="005C4058">
              <w:rPr>
                <w:rFonts w:eastAsia="Noto Sans"/>
                <w:bCs/>
                <w:color w:val="000000" w:themeColor="text1"/>
                <w:sz w:val="21"/>
                <w:szCs w:val="21"/>
              </w:rPr>
              <w:t xml:space="preserve">rovide supplier names for commercial reagents: for CEL-seq2 see </w:t>
            </w:r>
            <w:r w:rsidR="005C4058" w:rsidRPr="005C4058">
              <w:rPr>
                <w:color w:val="000000" w:themeColor="text1"/>
                <w:sz w:val="21"/>
                <w:szCs w:val="21"/>
              </w:rPr>
              <w:t>Hashimshony et al., 2016, 2012; Sogabe et al., 2019; Yuan et al., 2025; for ATAC-seq see Cornejo-Páramo et al., 2022; Yuan et al., 2025.</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74E5EDA1" w:rsidR="00F102CC" w:rsidRPr="003D5AF6" w:rsidRDefault="00F102CC">
            <w:pPr>
              <w:rPr>
                <w:rFonts w:ascii="Noto Sans" w:eastAsia="Noto Sans" w:hAnsi="Noto Sans" w:cs="Noto Sans"/>
                <w:bCs/>
                <w:color w:val="434343"/>
                <w:sz w:val="18"/>
                <w:szCs w:val="18"/>
              </w:rPr>
            </w:pP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0EAB11FA" w:rsidR="00F102CC" w:rsidRPr="003D5AF6" w:rsidRDefault="005C4058">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25D36465" w:rsidR="00F102CC" w:rsidRPr="003D5AF6" w:rsidRDefault="005C4058">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760EA8B5" w:rsidR="00F102CC" w:rsidRPr="003D5AF6" w:rsidRDefault="005C4058">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78DB8820" w:rsidR="00F102CC" w:rsidRPr="003D5AF6" w:rsidRDefault="005C4058">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3251C70E" w:rsidR="00F102CC" w:rsidRPr="005C4058" w:rsidRDefault="009839CD" w:rsidP="005C4058">
            <w:pPr>
              <w:snapToGrid w:val="0"/>
              <w:contextualSpacing/>
              <w:rPr>
                <w:bCs/>
                <w:sz w:val="21"/>
                <w:szCs w:val="21"/>
              </w:rPr>
            </w:pPr>
            <w:r w:rsidRPr="005C4058">
              <w:rPr>
                <w:bCs/>
                <w:sz w:val="21"/>
                <w:szCs w:val="21"/>
              </w:rPr>
              <w:t xml:space="preserve">See </w:t>
            </w:r>
            <w:r>
              <w:rPr>
                <w:bCs/>
                <w:sz w:val="21"/>
                <w:szCs w:val="21"/>
              </w:rPr>
              <w:t>“</w:t>
            </w:r>
            <w:r w:rsidRPr="005C4058">
              <w:rPr>
                <w:bCs/>
                <w:sz w:val="21"/>
                <w:szCs w:val="21"/>
              </w:rPr>
              <w:t>Larval and postlarval collection and cell isolation</w:t>
            </w:r>
            <w:r>
              <w:rPr>
                <w:bCs/>
                <w:sz w:val="21"/>
                <w:szCs w:val="21"/>
              </w:rPr>
              <w:t xml:space="preserve">” </w:t>
            </w:r>
            <w:r>
              <w:rPr>
                <w:rFonts w:eastAsia="Noto Sans"/>
                <w:bCs/>
                <w:color w:val="434343"/>
                <w:sz w:val="21"/>
                <w:szCs w:val="21"/>
              </w:rPr>
              <w:t>s</w:t>
            </w:r>
            <w:r w:rsidRPr="005C4058">
              <w:rPr>
                <w:rFonts w:eastAsia="Noto Sans"/>
                <w:bCs/>
                <w:color w:val="434343"/>
                <w:sz w:val="21"/>
                <w:szCs w:val="21"/>
              </w:rPr>
              <w:t>ection of Meth</w:t>
            </w:r>
            <w:r>
              <w:rPr>
                <w:rFonts w:eastAsia="Noto Sans"/>
                <w:bCs/>
                <w:color w:val="434343"/>
                <w:sz w:val="21"/>
                <w:szCs w:val="21"/>
              </w:rPr>
              <w:t>o</w:t>
            </w:r>
            <w:r w:rsidRPr="005C4058">
              <w:rPr>
                <w:rFonts w:eastAsia="Noto Sans"/>
                <w:bCs/>
                <w:color w:val="434343"/>
                <w:sz w:val="21"/>
                <w:szCs w:val="21"/>
              </w:rPr>
              <w:t>ds.</w:t>
            </w:r>
            <w:r>
              <w:rPr>
                <w:rFonts w:eastAsia="Noto Sans"/>
                <w:bCs/>
                <w:color w:val="434343"/>
                <w:sz w:val="21"/>
                <w:szCs w:val="21"/>
              </w:rPr>
              <w:t xml:space="preserve"> </w:t>
            </w:r>
            <w:r w:rsidR="005C4058" w:rsidRPr="005C4058">
              <w:rPr>
                <w:rFonts w:eastAsia="Noto Sans"/>
                <w:bCs/>
                <w:color w:val="434343"/>
                <w:sz w:val="21"/>
                <w:szCs w:val="21"/>
              </w:rPr>
              <w:t xml:space="preserve">Amphimedon queeslandica were collected under GBRMPA permit </w:t>
            </w:r>
            <w:r w:rsidR="005C4058" w:rsidRPr="005C4058">
              <w:rPr>
                <w:bCs/>
                <w:sz w:val="21"/>
                <w:szCs w:val="21"/>
              </w:rPr>
              <w:t xml:space="preserve">G22/46272.1. </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77777777" w:rsidR="00F102CC" w:rsidRPr="003D5AF6" w:rsidRDefault="00F102CC">
            <w:pPr>
              <w:rPr>
                <w:rFonts w:ascii="Noto Sans" w:eastAsia="Noto Sans" w:hAnsi="Noto Sans" w:cs="Noto Sans"/>
                <w:bCs/>
                <w:color w:val="434343"/>
                <w:sz w:val="18"/>
                <w:szCs w:val="18"/>
              </w:rPr>
            </w:pP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57443C0D" w:rsidR="00F102CC" w:rsidRPr="003D5AF6" w:rsidRDefault="005C4058">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32D2C681" w:rsidR="00F102CC" w:rsidRPr="003D5AF6" w:rsidRDefault="005C4058">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7492D051" w:rsidR="00F102CC" w:rsidRDefault="002E1D3A">
            <w:pPr>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47665B65" w:rsidR="00F102CC" w:rsidRPr="003D5AF6" w:rsidRDefault="002E1D3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16E3003" w14:textId="77777777" w:rsidR="002E1D3A" w:rsidRPr="002E1D3A" w:rsidRDefault="002E1D3A" w:rsidP="002E1D3A">
            <w:pPr>
              <w:pStyle w:val="Bibliography20"/>
              <w:ind w:left="300" w:hanging="300"/>
              <w:rPr>
                <w:rFonts w:asciiTheme="majorHAnsi" w:hAnsiTheme="majorHAnsi" w:cstheme="majorHAnsi"/>
                <w:sz w:val="21"/>
                <w:szCs w:val="21"/>
              </w:rPr>
            </w:pPr>
            <w:r w:rsidRPr="002E1D3A">
              <w:rPr>
                <w:rFonts w:asciiTheme="majorHAnsi" w:hAnsiTheme="majorHAnsi" w:cstheme="majorHAnsi"/>
                <w:sz w:val="21"/>
                <w:szCs w:val="21"/>
              </w:rPr>
              <w:t xml:space="preserve">Yuan H, Yang B, Degnan B, Degnan SM. 2025. Simultaneous capture of chromatin accessibility and gene expression data from single larvae and postlarvae of the marine sponge </w:t>
            </w:r>
            <w:r w:rsidRPr="002E1D3A">
              <w:rPr>
                <w:rFonts w:asciiTheme="majorHAnsi" w:hAnsiTheme="majorHAnsi" w:cstheme="majorHAnsi"/>
                <w:i/>
                <w:iCs/>
                <w:sz w:val="21"/>
                <w:szCs w:val="21"/>
              </w:rPr>
              <w:t>Amphimedon queenslandica</w:t>
            </w:r>
            <w:r w:rsidRPr="002E1D3A">
              <w:rPr>
                <w:rFonts w:asciiTheme="majorHAnsi" w:hAnsiTheme="majorHAnsi" w:cstheme="majorHAnsi"/>
                <w:sz w:val="21"/>
                <w:szCs w:val="21"/>
              </w:rPr>
              <w:t xml:space="preserve"> v1. DOI: </w:t>
            </w:r>
            <w:hyperlink r:id="rId15" w:history="1">
              <w:r w:rsidRPr="002E1D3A">
                <w:rPr>
                  <w:rStyle w:val="Hyperlink"/>
                  <w:rFonts w:asciiTheme="majorHAnsi" w:hAnsiTheme="majorHAnsi" w:cstheme="majorHAnsi"/>
                  <w:sz w:val="21"/>
                  <w:szCs w:val="21"/>
                </w:rPr>
                <w:t>https://doi.org/10.17504/protocols.io.ewov12j8ogr2/v1</w:t>
              </w:r>
            </w:hyperlink>
          </w:p>
          <w:p w14:paraId="55DB4854" w14:textId="77777777" w:rsidR="00F102CC" w:rsidRPr="002E1D3A" w:rsidRDefault="00F102CC" w:rsidP="002E1D3A">
            <w:pPr>
              <w:rPr>
                <w:rFonts w:asciiTheme="majorHAnsi" w:eastAsia="Noto Sans" w:hAnsiTheme="majorHAnsi" w:cstheme="majorHAnsi"/>
                <w:bCs/>
                <w:color w:val="434343"/>
                <w:sz w:val="21"/>
                <w:szCs w:val="21"/>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1D8DC753" w:rsidR="00F102CC" w:rsidRPr="003D5AF6" w:rsidRDefault="00F102CC">
            <w:pPr>
              <w:spacing w:line="225" w:lineRule="auto"/>
              <w:rPr>
                <w:rFonts w:ascii="Noto Sans" w:eastAsia="Noto Sans" w:hAnsi="Noto Sans" w:cs="Noto Sans"/>
                <w:bCs/>
                <w:color w:val="434343"/>
                <w:sz w:val="18"/>
                <w:szCs w:val="18"/>
              </w:rPr>
            </w:pP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2299F9F6" w:rsidR="00F102CC" w:rsidRPr="003D5AF6" w:rsidRDefault="002E1D3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4D1DCACC" w:rsidR="00F102CC" w:rsidRDefault="002E1D3A">
            <w:pPr>
              <w:spacing w:line="225" w:lineRule="auto"/>
              <w:rPr>
                <w:rFonts w:ascii="Noto Sans" w:eastAsia="Noto Sans" w:hAnsi="Noto Sans" w:cs="Noto Sans"/>
                <w:b/>
                <w:color w:val="434343"/>
                <w:sz w:val="18"/>
                <w:szCs w:val="18"/>
              </w:rPr>
            </w:pPr>
            <w:r>
              <w:rPr>
                <w:rFonts w:ascii="Noto Sans" w:eastAsia="Noto Sans" w:hAnsi="Noto Sans" w:cs="Noto Sans"/>
                <w:bCs/>
                <w:color w:val="434343"/>
                <w:sz w:val="18"/>
                <w:szCs w:val="18"/>
              </w:rPr>
              <w:t>N/A</w:t>
            </w: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0AF9DA51" w:rsidR="00F102CC" w:rsidRPr="003D5AF6" w:rsidRDefault="002E1D3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2E38FF9D" w:rsidR="00F102CC" w:rsidRPr="003D5AF6" w:rsidRDefault="002E1D3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lastRenderedPageBreak/>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43914D38" w:rsidR="00F102CC" w:rsidRPr="003D5AF6" w:rsidRDefault="009839CD">
            <w:pPr>
              <w:spacing w:line="225" w:lineRule="auto"/>
              <w:rPr>
                <w:rFonts w:ascii="Noto Sans" w:eastAsia="Noto Sans" w:hAnsi="Noto Sans" w:cs="Noto Sans"/>
                <w:bCs/>
                <w:color w:val="434343"/>
                <w:sz w:val="18"/>
                <w:szCs w:val="18"/>
              </w:rPr>
            </w:pPr>
            <w:r>
              <w:rPr>
                <w:bCs/>
                <w:sz w:val="21"/>
                <w:szCs w:val="21"/>
              </w:rPr>
              <w:t>S</w:t>
            </w:r>
            <w:r w:rsidRPr="005C4058">
              <w:rPr>
                <w:bCs/>
                <w:sz w:val="21"/>
                <w:szCs w:val="21"/>
              </w:rPr>
              <w:t xml:space="preserve">ee </w:t>
            </w:r>
            <w:r>
              <w:rPr>
                <w:bCs/>
                <w:sz w:val="21"/>
                <w:szCs w:val="21"/>
              </w:rPr>
              <w:t>“</w:t>
            </w:r>
            <w:r w:rsidRPr="005C4058">
              <w:rPr>
                <w:bCs/>
                <w:sz w:val="21"/>
                <w:szCs w:val="21"/>
              </w:rPr>
              <w:t>Larval and postlarval collection and cell isolation</w:t>
            </w:r>
            <w:r>
              <w:rPr>
                <w:bCs/>
                <w:sz w:val="21"/>
                <w:szCs w:val="21"/>
              </w:rPr>
              <w:t xml:space="preserve">” </w:t>
            </w:r>
            <w:r w:rsidR="00597FC7">
              <w:rPr>
                <w:bCs/>
                <w:sz w:val="21"/>
                <w:szCs w:val="21"/>
              </w:rPr>
              <w:t>a</w:t>
            </w:r>
            <w:r w:rsidR="00597FC7" w:rsidRPr="001A02DB">
              <w:rPr>
                <w:bCs/>
                <w:color w:val="000000" w:themeColor="text1"/>
                <w:sz w:val="21"/>
                <w:szCs w:val="21"/>
              </w:rPr>
              <w:t>nd “</w:t>
            </w:r>
            <w:r w:rsidR="00597FC7" w:rsidRPr="001A02DB">
              <w:rPr>
                <w:bCs/>
                <w:sz w:val="21"/>
                <w:szCs w:val="21"/>
              </w:rPr>
              <w:t>Light perturbation experiment”</w:t>
            </w:r>
            <w:r w:rsidR="00597FC7">
              <w:rPr>
                <w:bCs/>
                <w:sz w:val="21"/>
                <w:szCs w:val="21"/>
              </w:rPr>
              <w:t xml:space="preserve"> </w:t>
            </w:r>
            <w:r w:rsidR="00597FC7">
              <w:rPr>
                <w:rFonts w:eastAsia="Noto Sans"/>
                <w:bCs/>
                <w:color w:val="434343"/>
                <w:sz w:val="21"/>
                <w:szCs w:val="21"/>
              </w:rPr>
              <w:t>s</w:t>
            </w:r>
            <w:r w:rsidR="00597FC7" w:rsidRPr="005C4058">
              <w:rPr>
                <w:rFonts w:eastAsia="Noto Sans"/>
                <w:bCs/>
                <w:color w:val="434343"/>
                <w:sz w:val="21"/>
                <w:szCs w:val="21"/>
              </w:rPr>
              <w:t>ection</w:t>
            </w:r>
            <w:r w:rsidR="00597FC7">
              <w:rPr>
                <w:rFonts w:eastAsia="Noto Sans"/>
                <w:bCs/>
                <w:color w:val="434343"/>
                <w:sz w:val="21"/>
                <w:szCs w:val="21"/>
              </w:rPr>
              <w:t>s</w:t>
            </w:r>
            <w:r w:rsidR="00597FC7" w:rsidRPr="005C4058">
              <w:rPr>
                <w:rFonts w:eastAsia="Noto Sans"/>
                <w:bCs/>
                <w:color w:val="434343"/>
                <w:sz w:val="21"/>
                <w:szCs w:val="21"/>
              </w:rPr>
              <w:t xml:space="preserve"> </w:t>
            </w:r>
            <w:r w:rsidRPr="005C4058">
              <w:rPr>
                <w:rFonts w:eastAsia="Noto Sans"/>
                <w:bCs/>
                <w:color w:val="434343"/>
                <w:sz w:val="21"/>
                <w:szCs w:val="21"/>
              </w:rPr>
              <w:t>of Meth</w:t>
            </w:r>
            <w:r>
              <w:rPr>
                <w:rFonts w:eastAsia="Noto Sans"/>
                <w:bCs/>
                <w:color w:val="434343"/>
                <w:sz w:val="21"/>
                <w:szCs w:val="21"/>
              </w:rPr>
              <w:t>o</w:t>
            </w:r>
            <w:r w:rsidRPr="005C4058">
              <w:rPr>
                <w:rFonts w:eastAsia="Noto Sans"/>
                <w:bCs/>
                <w:color w:val="434343"/>
                <w:sz w:val="21"/>
                <w:szCs w:val="21"/>
              </w:rPr>
              <w:t>ds.</w:t>
            </w:r>
            <w:r>
              <w:rPr>
                <w:rFonts w:eastAsia="Noto Sans"/>
                <w:bCs/>
                <w:color w:val="434343"/>
                <w:sz w:val="21"/>
                <w:szCs w:val="21"/>
              </w:rPr>
              <w:t xml:space="preserve"> </w:t>
            </w:r>
            <w:r w:rsidR="002E1D3A">
              <w:rPr>
                <w:rFonts w:ascii="Noto Sans" w:eastAsia="Noto Sans" w:hAnsi="Noto Sans" w:cs="Noto Sans"/>
                <w:bCs/>
                <w:color w:val="434343"/>
                <w:sz w:val="18"/>
                <w:szCs w:val="18"/>
              </w:rPr>
              <w:t xml:space="preserve">Larval and postlarval biologically-replicated samples from the natural time course were randomly collected for a single spawn of a dozen wild-caught adults. Light/dark biologically replicated samples were randomly collected from different adults collected 16 months later. </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0A434CBD" w:rsidR="00F102CC" w:rsidRPr="003D5AF6" w:rsidRDefault="009839CD">
            <w:pPr>
              <w:spacing w:line="225" w:lineRule="auto"/>
              <w:rPr>
                <w:rFonts w:ascii="Noto Sans" w:eastAsia="Noto Sans" w:hAnsi="Noto Sans" w:cs="Noto Sans"/>
                <w:bCs/>
                <w:color w:val="434343"/>
                <w:sz w:val="18"/>
                <w:szCs w:val="18"/>
              </w:rPr>
            </w:pPr>
            <w:r>
              <w:rPr>
                <w:bCs/>
                <w:sz w:val="21"/>
                <w:szCs w:val="21"/>
              </w:rPr>
              <w:t>S</w:t>
            </w:r>
            <w:r w:rsidRPr="005C4058">
              <w:rPr>
                <w:bCs/>
                <w:sz w:val="21"/>
                <w:szCs w:val="21"/>
              </w:rPr>
              <w:t xml:space="preserve">ee </w:t>
            </w:r>
            <w:r>
              <w:rPr>
                <w:bCs/>
                <w:sz w:val="21"/>
                <w:szCs w:val="21"/>
              </w:rPr>
              <w:t>“</w:t>
            </w:r>
            <w:r w:rsidRPr="005C4058">
              <w:rPr>
                <w:bCs/>
                <w:sz w:val="21"/>
                <w:szCs w:val="21"/>
              </w:rPr>
              <w:t>Larval and postlarval collection and cell isolation</w:t>
            </w:r>
            <w:r>
              <w:rPr>
                <w:bCs/>
                <w:sz w:val="21"/>
                <w:szCs w:val="21"/>
              </w:rPr>
              <w:t xml:space="preserve">” </w:t>
            </w:r>
            <w:r w:rsidR="00597FC7">
              <w:rPr>
                <w:bCs/>
                <w:sz w:val="21"/>
                <w:szCs w:val="21"/>
              </w:rPr>
              <w:t>a</w:t>
            </w:r>
            <w:r w:rsidRPr="001A02DB">
              <w:rPr>
                <w:bCs/>
                <w:color w:val="000000" w:themeColor="text1"/>
                <w:sz w:val="21"/>
                <w:szCs w:val="21"/>
              </w:rPr>
              <w:t>nd “</w:t>
            </w:r>
            <w:r w:rsidRPr="001A02DB">
              <w:rPr>
                <w:bCs/>
                <w:sz w:val="21"/>
                <w:szCs w:val="21"/>
              </w:rPr>
              <w:t>Light perturbation experiment”</w:t>
            </w:r>
            <w:r>
              <w:rPr>
                <w:bCs/>
                <w:sz w:val="21"/>
                <w:szCs w:val="21"/>
              </w:rPr>
              <w:t xml:space="preserve"> </w:t>
            </w:r>
            <w:r>
              <w:rPr>
                <w:rFonts w:eastAsia="Noto Sans"/>
                <w:bCs/>
                <w:color w:val="434343"/>
                <w:sz w:val="21"/>
                <w:szCs w:val="21"/>
              </w:rPr>
              <w:t>s</w:t>
            </w:r>
            <w:r w:rsidRPr="005C4058">
              <w:rPr>
                <w:rFonts w:eastAsia="Noto Sans"/>
                <w:bCs/>
                <w:color w:val="434343"/>
                <w:sz w:val="21"/>
                <w:szCs w:val="21"/>
              </w:rPr>
              <w:t>ection</w:t>
            </w:r>
            <w:r>
              <w:rPr>
                <w:rFonts w:eastAsia="Noto Sans"/>
                <w:bCs/>
                <w:color w:val="434343"/>
                <w:sz w:val="21"/>
                <w:szCs w:val="21"/>
              </w:rPr>
              <w:t>s</w:t>
            </w:r>
            <w:r w:rsidRPr="005C4058">
              <w:rPr>
                <w:rFonts w:eastAsia="Noto Sans"/>
                <w:bCs/>
                <w:color w:val="434343"/>
                <w:sz w:val="21"/>
                <w:szCs w:val="21"/>
              </w:rPr>
              <w:t xml:space="preserve"> of Meth</w:t>
            </w:r>
            <w:r>
              <w:rPr>
                <w:rFonts w:eastAsia="Noto Sans"/>
                <w:bCs/>
                <w:color w:val="434343"/>
                <w:sz w:val="21"/>
                <w:szCs w:val="21"/>
              </w:rPr>
              <w:t>o</w:t>
            </w:r>
            <w:r w:rsidRPr="005C4058">
              <w:rPr>
                <w:rFonts w:eastAsia="Noto Sans"/>
                <w:bCs/>
                <w:color w:val="434343"/>
                <w:sz w:val="21"/>
                <w:szCs w:val="21"/>
              </w:rPr>
              <w:t>ds.</w:t>
            </w:r>
            <w:r>
              <w:rPr>
                <w:rFonts w:eastAsia="Noto Sans"/>
                <w:bCs/>
                <w:color w:val="434343"/>
                <w:sz w:val="21"/>
                <w:szCs w:val="21"/>
              </w:rPr>
              <w:t xml:space="preserve"> </w:t>
            </w:r>
            <w:r w:rsidR="002E1D3A">
              <w:rPr>
                <w:rFonts w:ascii="Noto Sans" w:eastAsia="Noto Sans" w:hAnsi="Noto Sans" w:cs="Noto Sans"/>
                <w:bCs/>
                <w:color w:val="434343"/>
                <w:sz w:val="18"/>
                <w:szCs w:val="18"/>
              </w:rPr>
              <w:t>6 biological replicates per stage for Cel-seq2 and ATAC-seq for natural time course.</w:t>
            </w:r>
            <w:r w:rsidR="00D9771F">
              <w:rPr>
                <w:rFonts w:ascii="Noto Sans" w:eastAsia="Noto Sans" w:hAnsi="Noto Sans" w:cs="Noto Sans"/>
                <w:bCs/>
                <w:color w:val="434343"/>
                <w:sz w:val="18"/>
                <w:szCs w:val="18"/>
              </w:rPr>
              <w:t xml:space="preserve"> 8 biological replicates for Cel-seq2 and ATAC-seq for light/dark experiment.</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7736387E"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01E0242A" w:rsidR="00F102CC" w:rsidRPr="003D5AF6" w:rsidRDefault="00D9771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72DDD66A" w:rsidR="00F102CC" w:rsidRPr="003D5AF6" w:rsidRDefault="00D9771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390C80C1" w:rsidR="00F102CC" w:rsidRPr="00D9771F" w:rsidRDefault="009839CD">
            <w:pPr>
              <w:spacing w:line="225" w:lineRule="auto"/>
              <w:rPr>
                <w:rFonts w:ascii="Noto Sans" w:eastAsia="Noto Sans" w:hAnsi="Noto Sans" w:cs="Noto Sans"/>
                <w:bCs/>
                <w:color w:val="434343"/>
                <w:sz w:val="21"/>
                <w:szCs w:val="21"/>
              </w:rPr>
            </w:pPr>
            <w:r>
              <w:rPr>
                <w:bCs/>
                <w:sz w:val="21"/>
                <w:szCs w:val="21"/>
              </w:rPr>
              <w:t>S</w:t>
            </w:r>
            <w:r w:rsidRPr="005C4058">
              <w:rPr>
                <w:bCs/>
                <w:sz w:val="21"/>
                <w:szCs w:val="21"/>
              </w:rPr>
              <w:t xml:space="preserve">ee </w:t>
            </w:r>
            <w:r>
              <w:rPr>
                <w:bCs/>
                <w:sz w:val="21"/>
                <w:szCs w:val="21"/>
              </w:rPr>
              <w:t>“</w:t>
            </w:r>
            <w:r w:rsidRPr="005C4058">
              <w:rPr>
                <w:bCs/>
                <w:sz w:val="21"/>
                <w:szCs w:val="21"/>
              </w:rPr>
              <w:t>Larval and postlarval collection and cell isolation</w:t>
            </w:r>
            <w:r>
              <w:rPr>
                <w:bCs/>
                <w:sz w:val="21"/>
                <w:szCs w:val="21"/>
              </w:rPr>
              <w:t xml:space="preserve">” </w:t>
            </w:r>
            <w:r>
              <w:rPr>
                <w:rFonts w:eastAsia="Noto Sans"/>
                <w:bCs/>
                <w:color w:val="434343"/>
                <w:sz w:val="21"/>
                <w:szCs w:val="21"/>
              </w:rPr>
              <w:t>s</w:t>
            </w:r>
            <w:r w:rsidRPr="005C4058">
              <w:rPr>
                <w:rFonts w:eastAsia="Noto Sans"/>
                <w:bCs/>
                <w:color w:val="434343"/>
                <w:sz w:val="21"/>
                <w:szCs w:val="21"/>
              </w:rPr>
              <w:t>ection of Meth</w:t>
            </w:r>
            <w:r>
              <w:rPr>
                <w:rFonts w:eastAsia="Noto Sans"/>
                <w:bCs/>
                <w:color w:val="434343"/>
                <w:sz w:val="21"/>
                <w:szCs w:val="21"/>
              </w:rPr>
              <w:t>o</w:t>
            </w:r>
            <w:r w:rsidRPr="005C4058">
              <w:rPr>
                <w:rFonts w:eastAsia="Noto Sans"/>
                <w:bCs/>
                <w:color w:val="434343"/>
                <w:sz w:val="21"/>
                <w:szCs w:val="21"/>
              </w:rPr>
              <w:t>ds.</w:t>
            </w:r>
            <w:r>
              <w:rPr>
                <w:rFonts w:eastAsia="Noto Sans"/>
                <w:bCs/>
                <w:color w:val="434343"/>
                <w:sz w:val="21"/>
                <w:szCs w:val="21"/>
              </w:rPr>
              <w:t xml:space="preserve"> </w:t>
            </w:r>
            <w:r w:rsidR="00D9771F" w:rsidRPr="00D9771F">
              <w:rPr>
                <w:i/>
                <w:iCs/>
                <w:sz w:val="21"/>
                <w:szCs w:val="21"/>
              </w:rPr>
              <w:t>Amphimedon queenslandica</w:t>
            </w:r>
            <w:r w:rsidR="00D9771F" w:rsidRPr="00D9771F">
              <w:rPr>
                <w:sz w:val="21"/>
                <w:szCs w:val="21"/>
              </w:rPr>
              <w:t xml:space="preserve"> were collected under Great Barrier Reef Marine Park Authority Permit G22/46272.1.</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77777777" w:rsidR="00F102CC" w:rsidRPr="003D5AF6" w:rsidRDefault="00F102CC">
            <w:pPr>
              <w:spacing w:line="225" w:lineRule="auto"/>
              <w:rPr>
                <w:rFonts w:ascii="Noto Sans" w:eastAsia="Noto Sans" w:hAnsi="Noto Sans" w:cs="Noto Sans"/>
                <w:bCs/>
                <w:color w:val="434343"/>
                <w:sz w:val="18"/>
                <w:szCs w:val="18"/>
              </w:rPr>
            </w:pP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67EA0965" w:rsidR="00F102CC" w:rsidRPr="003D5AF6" w:rsidRDefault="00D9771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049D4C20" w:rsidR="00F102CC" w:rsidRPr="003D5AF6" w:rsidRDefault="00D9771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1BEBA4EA" w14:textId="615F6C4A" w:rsidR="009839CD" w:rsidRPr="009839CD" w:rsidRDefault="009839CD" w:rsidP="009839CD">
            <w:pPr>
              <w:rPr>
                <w:bCs/>
                <w:sz w:val="21"/>
                <w:szCs w:val="21"/>
              </w:rPr>
            </w:pPr>
            <w:r>
              <w:rPr>
                <w:rFonts w:eastAsia="Noto Sans"/>
                <w:bCs/>
                <w:color w:val="434343"/>
                <w:sz w:val="21"/>
                <w:szCs w:val="21"/>
              </w:rPr>
              <w:t>S</w:t>
            </w:r>
            <w:r w:rsidRPr="001A02DB">
              <w:rPr>
                <w:rFonts w:eastAsia="Noto Sans"/>
                <w:bCs/>
                <w:color w:val="434343"/>
                <w:sz w:val="21"/>
                <w:szCs w:val="21"/>
              </w:rPr>
              <w:t>ee “</w:t>
            </w:r>
            <w:r w:rsidRPr="001A02DB">
              <w:rPr>
                <w:bCs/>
                <w:sz w:val="21"/>
                <w:szCs w:val="21"/>
              </w:rPr>
              <w:t>Analysis of differentially expressed genes”, “Co-expression analysis“, “ATAC-seq library preparation, sequencing and analysis”, “</w:t>
            </w:r>
            <w:r w:rsidRPr="001A02DB">
              <w:rPr>
                <w:bCs/>
                <w:color w:val="000000" w:themeColor="text1"/>
                <w:sz w:val="21"/>
                <w:szCs w:val="21"/>
              </w:rPr>
              <w:t>Analysis of open chromatin regions”, “</w:t>
            </w:r>
            <w:r w:rsidRPr="001A02DB">
              <w:rPr>
                <w:bCs/>
                <w:sz w:val="21"/>
                <w:szCs w:val="21"/>
              </w:rPr>
              <w:t>Motif identification, annotation, clustering, and accessibility analysis”, “</w:t>
            </w:r>
            <w:r w:rsidRPr="001A02DB">
              <w:rPr>
                <w:bCs/>
                <w:color w:val="000000" w:themeColor="text1"/>
                <w:sz w:val="21"/>
                <w:szCs w:val="21"/>
              </w:rPr>
              <w:t>Enrichment analyses” and “</w:t>
            </w:r>
            <w:r w:rsidRPr="001A02DB">
              <w:rPr>
                <w:bCs/>
                <w:sz w:val="21"/>
                <w:szCs w:val="21"/>
              </w:rPr>
              <w:t>Light perturbation experiment”</w:t>
            </w:r>
            <w:r>
              <w:rPr>
                <w:bCs/>
                <w:sz w:val="21"/>
                <w:szCs w:val="21"/>
              </w:rPr>
              <w:t xml:space="preserve"> s</w:t>
            </w:r>
            <w:r w:rsidRPr="001A02DB">
              <w:rPr>
                <w:rFonts w:eastAsia="Noto Sans"/>
                <w:bCs/>
                <w:color w:val="434343"/>
                <w:sz w:val="21"/>
                <w:szCs w:val="21"/>
              </w:rPr>
              <w:t>ections in the Methods</w:t>
            </w:r>
            <w:r>
              <w:rPr>
                <w:rFonts w:eastAsia="Noto Sans"/>
                <w:bCs/>
                <w:color w:val="434343"/>
                <w:sz w:val="21"/>
                <w:szCs w:val="21"/>
              </w:rPr>
              <w:t xml:space="preserve">. </w:t>
            </w:r>
            <w:r w:rsidR="00BE48BE" w:rsidRPr="001A02DB">
              <w:rPr>
                <w:rFonts w:eastAsia="Noto Sans"/>
                <w:bCs/>
                <w:color w:val="434343"/>
                <w:sz w:val="21"/>
                <w:szCs w:val="21"/>
              </w:rPr>
              <w:t>All statistical tests associated with the analysis of gene expression, chromatin accessibility and DNA binding motifs used standardized parameters that widely used in the literature. S</w:t>
            </w:r>
          </w:p>
          <w:p w14:paraId="54E0127B" w14:textId="00C594AD" w:rsidR="00F102CC" w:rsidRPr="001A02DB" w:rsidRDefault="00F102CC" w:rsidP="001A02DB">
            <w:pPr>
              <w:rPr>
                <w:rFonts w:eastAsia="Noto Sans"/>
                <w:bCs/>
                <w:color w:val="434343"/>
                <w:sz w:val="21"/>
                <w:szCs w:val="21"/>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4593A49F" w:rsidR="00F102CC" w:rsidRPr="003D5AF6" w:rsidRDefault="009839CD">
            <w:pPr>
              <w:spacing w:line="225" w:lineRule="auto"/>
              <w:rPr>
                <w:rFonts w:ascii="Noto Sans" w:eastAsia="Noto Sans" w:hAnsi="Noto Sans" w:cs="Noto Sans"/>
                <w:bCs/>
                <w:color w:val="434343"/>
                <w:sz w:val="18"/>
                <w:szCs w:val="18"/>
              </w:rPr>
            </w:pPr>
            <w:r>
              <w:rPr>
                <w:rFonts w:asciiTheme="majorHAnsi" w:eastAsia="Noto Sans" w:hAnsiTheme="majorHAnsi" w:cstheme="majorHAnsi"/>
                <w:color w:val="434343"/>
                <w:sz w:val="21"/>
                <w:szCs w:val="21"/>
              </w:rPr>
              <w:t>See</w:t>
            </w:r>
            <w:r w:rsidR="00D9771F" w:rsidRPr="005C4058">
              <w:rPr>
                <w:rFonts w:asciiTheme="majorHAnsi" w:eastAsia="Noto Sans" w:hAnsiTheme="majorHAnsi" w:cstheme="majorHAnsi"/>
                <w:color w:val="434343"/>
                <w:sz w:val="21"/>
                <w:szCs w:val="21"/>
              </w:rPr>
              <w:t xml:space="preserve"> </w:t>
            </w:r>
            <w:r>
              <w:rPr>
                <w:rFonts w:asciiTheme="majorHAnsi" w:eastAsia="Noto Sans" w:hAnsiTheme="majorHAnsi" w:cstheme="majorHAnsi"/>
                <w:color w:val="434343"/>
                <w:sz w:val="21"/>
                <w:szCs w:val="21"/>
              </w:rPr>
              <w:t>“</w:t>
            </w:r>
            <w:r w:rsidR="00D9771F" w:rsidRPr="005C4058">
              <w:rPr>
                <w:rFonts w:asciiTheme="majorHAnsi" w:hAnsiTheme="majorHAnsi" w:cstheme="majorHAnsi"/>
                <w:color w:val="222222"/>
                <w:sz w:val="21"/>
                <w:szCs w:val="21"/>
              </w:rPr>
              <w:t>Data</w:t>
            </w:r>
            <w:r w:rsidR="00D9771F" w:rsidRPr="00D9771F">
              <w:rPr>
                <w:rFonts w:asciiTheme="majorHAnsi" w:hAnsiTheme="majorHAnsi" w:cstheme="majorHAnsi"/>
                <w:color w:val="222222"/>
                <w:sz w:val="21"/>
                <w:szCs w:val="21"/>
              </w:rPr>
              <w:t xml:space="preserve"> Ava</w:t>
            </w:r>
            <w:r w:rsidR="00D9771F" w:rsidRPr="005C4058">
              <w:rPr>
                <w:rFonts w:asciiTheme="majorHAnsi" w:hAnsiTheme="majorHAnsi" w:cstheme="majorHAnsi"/>
                <w:color w:val="222222"/>
                <w:sz w:val="21"/>
                <w:szCs w:val="21"/>
              </w:rPr>
              <w:t>ilability</w:t>
            </w:r>
            <w:r w:rsidR="00D9771F">
              <w:rPr>
                <w:rFonts w:asciiTheme="majorHAnsi" w:hAnsiTheme="majorHAnsi" w:cstheme="majorHAnsi"/>
                <w:b/>
                <w:color w:val="222222"/>
                <w:sz w:val="21"/>
                <w:szCs w:val="21"/>
              </w:rPr>
              <w:t xml:space="preserve"> </w:t>
            </w:r>
            <w:r>
              <w:rPr>
                <w:rFonts w:asciiTheme="majorHAnsi" w:hAnsiTheme="majorHAnsi" w:cstheme="majorHAnsi"/>
                <w:b/>
                <w:color w:val="222222"/>
                <w:sz w:val="21"/>
                <w:szCs w:val="21"/>
              </w:rPr>
              <w:t>“</w:t>
            </w:r>
            <w:r>
              <w:rPr>
                <w:rFonts w:asciiTheme="majorHAnsi" w:hAnsiTheme="majorHAnsi" w:cstheme="majorHAnsi"/>
                <w:color w:val="222222"/>
                <w:sz w:val="21"/>
                <w:szCs w:val="21"/>
              </w:rPr>
              <w:t>s</w:t>
            </w:r>
            <w:r w:rsidR="00D9771F" w:rsidRPr="005C4058">
              <w:rPr>
                <w:rFonts w:asciiTheme="majorHAnsi" w:hAnsiTheme="majorHAnsi" w:cstheme="majorHAnsi"/>
                <w:color w:val="222222"/>
                <w:sz w:val="21"/>
                <w:szCs w:val="21"/>
              </w:rPr>
              <w:t>ection</w:t>
            </w:r>
            <w:r>
              <w:rPr>
                <w:rFonts w:asciiTheme="majorHAnsi" w:hAnsiTheme="majorHAnsi" w:cstheme="majorHAnsi"/>
                <w:color w:val="222222"/>
                <w:sz w:val="21"/>
                <w:szCs w:val="21"/>
              </w:rPr>
              <w:t>.</w:t>
            </w:r>
            <w:r w:rsidR="00D9771F" w:rsidRPr="005C4058">
              <w:rPr>
                <w:rFonts w:asciiTheme="majorHAnsi" w:hAnsiTheme="majorHAnsi" w:cstheme="majorHAnsi"/>
                <w:color w:val="222222"/>
                <w:sz w:val="21"/>
                <w:szCs w:val="21"/>
              </w:rPr>
              <w:t xml:space="preserve"> CEL-seq2 and ATAC-seq data for normal light condition are available in the NCBI database under </w:t>
            </w:r>
            <w:r w:rsidR="00D9771F" w:rsidRPr="005C4058">
              <w:rPr>
                <w:rFonts w:asciiTheme="majorHAnsi" w:eastAsia="Roboto" w:hAnsiTheme="majorHAnsi" w:cstheme="majorHAnsi"/>
                <w:color w:val="212121"/>
                <w:sz w:val="21"/>
                <w:szCs w:val="21"/>
              </w:rPr>
              <w:t>BioProjects PRJNA1162246</w:t>
            </w:r>
            <w:r w:rsidR="00D9771F" w:rsidRPr="005C4058">
              <w:rPr>
                <w:rFonts w:asciiTheme="majorHAnsi" w:hAnsiTheme="majorHAnsi" w:cstheme="majorHAnsi"/>
                <w:sz w:val="21"/>
                <w:szCs w:val="21"/>
              </w:rPr>
              <w:t xml:space="preserve"> and PRJNA1161795</w:t>
            </w:r>
            <w:r w:rsidR="00D9771F" w:rsidRPr="005C4058">
              <w:rPr>
                <w:rFonts w:asciiTheme="majorHAnsi" w:eastAsia="SimSun" w:hAnsiTheme="majorHAnsi" w:cstheme="majorHAnsi"/>
                <w:sz w:val="21"/>
                <w:szCs w:val="21"/>
                <w:lang w:eastAsia="zh-CN"/>
              </w:rPr>
              <w:t xml:space="preserve">, </w:t>
            </w:r>
            <w:r w:rsidR="00D9771F" w:rsidRPr="005C4058">
              <w:rPr>
                <w:rFonts w:asciiTheme="majorHAnsi" w:hAnsiTheme="majorHAnsi" w:cstheme="majorHAnsi"/>
                <w:sz w:val="21"/>
                <w:szCs w:val="21"/>
              </w:rPr>
              <w:t>respectively, and for constant light condition under BioProjects</w:t>
            </w:r>
            <w:r w:rsidR="00D9771F" w:rsidRPr="005C4058">
              <w:rPr>
                <w:rFonts w:asciiTheme="majorHAnsi" w:hAnsiTheme="majorHAnsi" w:cstheme="majorHAnsi"/>
                <w:sz w:val="21"/>
                <w:szCs w:val="21"/>
                <w:lang w:eastAsia="zh-CN"/>
              </w:rPr>
              <w:t xml:space="preserve"> </w:t>
            </w:r>
            <w:r w:rsidR="00D9771F" w:rsidRPr="005C4058">
              <w:rPr>
                <w:rFonts w:asciiTheme="majorHAnsi" w:eastAsia="SimSun" w:hAnsiTheme="majorHAnsi" w:cstheme="majorHAnsi"/>
                <w:sz w:val="21"/>
                <w:szCs w:val="21"/>
              </w:rPr>
              <w:t>PRJNA1394668</w:t>
            </w:r>
            <w:r w:rsidR="00D9771F" w:rsidRPr="005C4058">
              <w:rPr>
                <w:rFonts w:asciiTheme="majorHAnsi" w:hAnsiTheme="majorHAnsi" w:cstheme="majorHAnsi"/>
                <w:sz w:val="21"/>
                <w:szCs w:val="21"/>
              </w:rPr>
              <w:t xml:space="preserve"> and PRJNA1394227</w:t>
            </w:r>
            <w:r w:rsidR="00D9771F" w:rsidRPr="005C4058">
              <w:rPr>
                <w:rFonts w:asciiTheme="majorHAnsi" w:eastAsia="SimSun" w:hAnsiTheme="majorHAnsi" w:cstheme="majorHAnsi"/>
                <w:sz w:val="21"/>
                <w:szCs w:val="21"/>
                <w:lang w:eastAsia="zh-CN"/>
              </w:rPr>
              <w:t xml:space="preserve">, </w:t>
            </w:r>
            <w:r w:rsidR="00D9771F" w:rsidRPr="005C4058">
              <w:rPr>
                <w:rFonts w:asciiTheme="majorHAnsi" w:hAnsiTheme="majorHAnsi" w:cstheme="majorHAnsi"/>
                <w:sz w:val="21"/>
                <w:szCs w:val="21"/>
              </w:rPr>
              <w:t>respectively.</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4307B968" w:rsidR="00F102CC" w:rsidRPr="003D5AF6" w:rsidRDefault="00D9771F">
            <w:pPr>
              <w:spacing w:line="225" w:lineRule="auto"/>
              <w:rPr>
                <w:rFonts w:ascii="Noto Sans" w:eastAsia="Noto Sans" w:hAnsi="Noto Sans" w:cs="Noto Sans"/>
                <w:bCs/>
                <w:color w:val="434343"/>
                <w:sz w:val="18"/>
                <w:szCs w:val="18"/>
              </w:rPr>
            </w:pPr>
            <w:r w:rsidRPr="005C4058">
              <w:rPr>
                <w:rFonts w:asciiTheme="majorHAnsi" w:eastAsia="Roboto" w:hAnsiTheme="majorHAnsi" w:cstheme="majorHAnsi"/>
                <w:color w:val="212121"/>
                <w:sz w:val="21"/>
                <w:szCs w:val="21"/>
              </w:rPr>
              <w:t>BioProjects PRJNA1162246</w:t>
            </w:r>
            <w:r>
              <w:rPr>
                <w:rFonts w:asciiTheme="majorHAnsi" w:hAnsiTheme="majorHAnsi" w:cstheme="majorHAnsi"/>
                <w:sz w:val="21"/>
                <w:szCs w:val="21"/>
              </w:rPr>
              <w:t>,</w:t>
            </w:r>
            <w:r w:rsidRPr="005C4058">
              <w:rPr>
                <w:rFonts w:asciiTheme="majorHAnsi" w:hAnsiTheme="majorHAnsi" w:cstheme="majorHAnsi"/>
                <w:sz w:val="21"/>
                <w:szCs w:val="21"/>
              </w:rPr>
              <w:t xml:space="preserve"> PRJNA1161795</w:t>
            </w:r>
            <w:r w:rsidRPr="005C4058">
              <w:rPr>
                <w:rFonts w:asciiTheme="majorHAnsi" w:eastAsia="SimSun" w:hAnsiTheme="majorHAnsi" w:cstheme="majorHAnsi"/>
                <w:sz w:val="21"/>
                <w:szCs w:val="21"/>
                <w:lang w:eastAsia="zh-CN"/>
              </w:rPr>
              <w:t xml:space="preserve">, </w:t>
            </w:r>
            <w:r w:rsidRPr="005C4058">
              <w:rPr>
                <w:rFonts w:asciiTheme="majorHAnsi" w:eastAsia="SimSun" w:hAnsiTheme="majorHAnsi" w:cstheme="majorHAnsi"/>
                <w:sz w:val="21"/>
                <w:szCs w:val="21"/>
              </w:rPr>
              <w:t>PRJNA1394668</w:t>
            </w:r>
            <w:r w:rsidRPr="005C4058">
              <w:rPr>
                <w:rFonts w:asciiTheme="majorHAnsi" w:hAnsiTheme="majorHAnsi" w:cstheme="majorHAnsi"/>
                <w:sz w:val="21"/>
                <w:szCs w:val="21"/>
              </w:rPr>
              <w:t xml:space="preserve"> and PRJNA1394227</w:t>
            </w:r>
            <w:r>
              <w:rPr>
                <w:rFonts w:asciiTheme="majorHAnsi" w:eastAsia="SimSun" w:hAnsiTheme="majorHAnsi" w:cstheme="majorHAnsi"/>
                <w:sz w:val="21"/>
                <w:szCs w:val="21"/>
                <w:lang w:eastAsia="zh-CN"/>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662A54CB" w:rsidR="00F102CC" w:rsidRPr="003D5AF6" w:rsidRDefault="00F102CC">
            <w:pPr>
              <w:spacing w:line="225" w:lineRule="auto"/>
              <w:rPr>
                <w:rFonts w:ascii="Noto Sans" w:eastAsia="Noto Sans" w:hAnsi="Noto Sans" w:cs="Noto Sans"/>
                <w:bCs/>
                <w:color w:val="434343"/>
                <w:sz w:val="18"/>
                <w:szCs w:val="18"/>
              </w:rPr>
            </w:pP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61C01C86" w14:textId="319D6B86" w:rsidR="001A02DB" w:rsidRPr="001A02DB" w:rsidRDefault="009839CD" w:rsidP="001A02DB">
            <w:pPr>
              <w:snapToGrid w:val="0"/>
              <w:contextualSpacing/>
              <w:rPr>
                <w:iCs/>
                <w:sz w:val="21"/>
                <w:szCs w:val="21"/>
                <w:lang w:val="en-GB"/>
              </w:rPr>
            </w:pPr>
            <w:r w:rsidRPr="001A02DB">
              <w:rPr>
                <w:sz w:val="21"/>
                <w:szCs w:val="21"/>
              </w:rPr>
              <w:t xml:space="preserve">See </w:t>
            </w:r>
            <w:r>
              <w:rPr>
                <w:sz w:val="21"/>
                <w:szCs w:val="21"/>
              </w:rPr>
              <w:t>“</w:t>
            </w:r>
            <w:r w:rsidRPr="001A02DB">
              <w:rPr>
                <w:iCs/>
                <w:sz w:val="21"/>
                <w:szCs w:val="21"/>
                <w:lang w:val="en-GB"/>
              </w:rPr>
              <w:t>CEL-seq2 library construction, sequencing and analysis</w:t>
            </w:r>
            <w:r>
              <w:rPr>
                <w:iCs/>
                <w:sz w:val="21"/>
                <w:szCs w:val="21"/>
                <w:lang w:val="en-GB"/>
              </w:rPr>
              <w:t xml:space="preserve">” </w:t>
            </w:r>
            <w:r w:rsidRPr="001A02DB">
              <w:rPr>
                <w:iCs/>
                <w:sz w:val="21"/>
                <w:szCs w:val="21"/>
                <w:lang w:val="en-GB"/>
              </w:rPr>
              <w:t>section of the Methods</w:t>
            </w:r>
            <w:r>
              <w:rPr>
                <w:iCs/>
                <w:sz w:val="21"/>
                <w:szCs w:val="21"/>
                <w:lang w:val="en-GB"/>
              </w:rPr>
              <w:t>.</w:t>
            </w:r>
            <w:r w:rsidRPr="001A02DB">
              <w:rPr>
                <w:sz w:val="21"/>
                <w:szCs w:val="21"/>
              </w:rPr>
              <w:t xml:space="preserve"> </w:t>
            </w:r>
            <w:r w:rsidR="001A02DB" w:rsidRPr="001A02DB">
              <w:rPr>
                <w:sz w:val="21"/>
                <w:szCs w:val="21"/>
              </w:rPr>
              <w:lastRenderedPageBreak/>
              <w:t xml:space="preserve">Raw reads were mapped to </w:t>
            </w:r>
            <w:r w:rsidR="001A02DB" w:rsidRPr="001A02DB">
              <w:rPr>
                <w:i/>
                <w:iCs/>
                <w:sz w:val="21"/>
                <w:szCs w:val="21"/>
              </w:rPr>
              <w:t>A. queenslandica</w:t>
            </w:r>
            <w:r w:rsidR="001A02DB" w:rsidRPr="001A02DB">
              <w:rPr>
                <w:sz w:val="21"/>
                <w:szCs w:val="21"/>
              </w:rPr>
              <w:t xml:space="preserve"> Aqu3.1 genome (NCBI Bioproject PRJNA668660). </w:t>
            </w:r>
          </w:p>
          <w:p w14:paraId="2BF0859A" w14:textId="221322EA"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4F0FB7C8" w:rsidR="00F102CC" w:rsidRPr="003D5AF6" w:rsidRDefault="00F102CC">
            <w:pPr>
              <w:spacing w:line="225" w:lineRule="auto"/>
              <w:rPr>
                <w:rFonts w:ascii="Noto Sans" w:eastAsia="Noto Sans" w:hAnsi="Noto Sans" w:cs="Noto Sans"/>
                <w:bCs/>
                <w:color w:val="434343"/>
                <w:sz w:val="18"/>
                <w:szCs w:val="18"/>
              </w:rPr>
            </w:pP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410310BF" w:rsidR="00F102CC" w:rsidRPr="00BE48BE" w:rsidRDefault="00BE48BE" w:rsidP="00BE48BE">
            <w:pPr>
              <w:snapToGrid w:val="0"/>
              <w:contextualSpacing/>
              <w:rPr>
                <w:sz w:val="21"/>
                <w:szCs w:val="21"/>
              </w:rPr>
            </w:pPr>
            <w:r w:rsidRPr="00BE48BE">
              <w:rPr>
                <w:color w:val="000000" w:themeColor="text1"/>
                <w:sz w:val="21"/>
                <w:szCs w:val="21"/>
              </w:rPr>
              <w:t>See “</w:t>
            </w:r>
            <w:r w:rsidRPr="00BE48BE">
              <w:rPr>
                <w:sz w:val="21"/>
                <w:szCs w:val="21"/>
              </w:rPr>
              <w:t>Motif identification, annotation, clustering, and accessibility analysis” section of Methods</w:t>
            </w:r>
            <w:r w:rsidR="00597FC7">
              <w:rPr>
                <w:sz w:val="21"/>
                <w:szCs w:val="21"/>
              </w:rPr>
              <w:t xml:space="preserve">. </w:t>
            </w:r>
            <w:r w:rsidRPr="00BE48BE">
              <w:rPr>
                <w:color w:val="000000" w:themeColor="text1"/>
                <w:sz w:val="21"/>
                <w:szCs w:val="21"/>
              </w:rPr>
              <w:t xml:space="preserve">We customised the </w:t>
            </w:r>
            <w:r w:rsidR="00597FC7">
              <w:rPr>
                <w:color w:val="000000" w:themeColor="text1"/>
                <w:sz w:val="21"/>
                <w:szCs w:val="21"/>
              </w:rPr>
              <w:t>JASPAR</w:t>
            </w:r>
            <w:r w:rsidRPr="00BE48BE">
              <w:rPr>
                <w:color w:val="000000" w:themeColor="text1"/>
                <w:sz w:val="21"/>
                <w:szCs w:val="21"/>
              </w:rPr>
              <w:t xml:space="preserve">2022 database by removing fungi- and plant-specific motifs (available at </w:t>
            </w:r>
            <w:hyperlink r:id="rId16" w:history="1">
              <w:r w:rsidRPr="00BE48BE">
                <w:rPr>
                  <w:rStyle w:val="Hyperlink"/>
                  <w:color w:val="000000" w:themeColor="text1"/>
                  <w:sz w:val="21"/>
                  <w:szCs w:val="21"/>
                  <w:u w:val="none"/>
                </w:rPr>
                <w:t>https://github.com/hfyuanuq/atac-pub</w:t>
              </w:r>
            </w:hyperlink>
            <w:r w:rsidRPr="00BE48BE">
              <w:rPr>
                <w:color w:val="000000" w:themeColor="text1"/>
                <w:sz w:val="21"/>
                <w:szCs w:val="21"/>
              </w:rPr>
              <w:t>).</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64DB62EC" w:rsidR="00F102CC" w:rsidRPr="003D5AF6" w:rsidRDefault="00F102CC">
            <w:pPr>
              <w:spacing w:line="225" w:lineRule="auto"/>
              <w:rPr>
                <w:rFonts w:ascii="Noto Sans" w:eastAsia="Noto Sans" w:hAnsi="Noto Sans" w:cs="Noto Sans"/>
                <w:bCs/>
                <w:color w:val="434343"/>
                <w:sz w:val="18"/>
                <w:szCs w:val="18"/>
              </w:rPr>
            </w:pP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527ED133" w:rsidR="00F102CC" w:rsidRPr="003D5AF6" w:rsidRDefault="00BE48BE">
            <w:pPr>
              <w:spacing w:line="225" w:lineRule="auto"/>
              <w:rPr>
                <w:rFonts w:ascii="Noto Sans" w:eastAsia="Noto Sans" w:hAnsi="Noto Sans" w:cs="Noto Sans"/>
                <w:bCs/>
                <w:color w:val="434343"/>
              </w:rPr>
            </w:pPr>
            <w:hyperlink r:id="rId17" w:history="1">
              <w:r w:rsidRPr="00BE48BE">
                <w:rPr>
                  <w:rStyle w:val="Hyperlink"/>
                  <w:color w:val="000000" w:themeColor="text1"/>
                  <w:sz w:val="21"/>
                  <w:szCs w:val="21"/>
                  <w:u w:val="none"/>
                </w:rPr>
                <w:t>https://github.com/hfyuanuq/atac-pub</w:t>
              </w:r>
            </w:hyperlink>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2CD7164A" w:rsidR="00F102CC" w:rsidRPr="003D5AF6" w:rsidRDefault="00F102CC">
            <w:pPr>
              <w:spacing w:line="225" w:lineRule="auto"/>
              <w:rPr>
                <w:rFonts w:ascii="Noto Sans" w:eastAsia="Noto Sans" w:hAnsi="Noto Sans" w:cs="Noto Sans"/>
                <w:bCs/>
                <w:color w:val="434343"/>
                <w:sz w:val="18"/>
                <w:szCs w:val="18"/>
              </w:rPr>
            </w:pP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042E395A" w:rsidR="00F102CC" w:rsidRPr="003D5AF6" w:rsidRDefault="00D9771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787B1CA0" w:rsidR="00F102CC" w:rsidRPr="003D5AF6" w:rsidRDefault="00D9771F">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04D0CB4" w14:textId="77777777" w:rsidR="00F102CC" w:rsidRDefault="00F102CC">
      <w:pPr>
        <w:spacing w:line="227" w:lineRule="auto"/>
        <w:rPr>
          <w:rFonts w:ascii="Noto Sans" w:eastAsia="Noto Sans" w:hAnsi="Noto Sans" w:cs="Noto Sans"/>
          <w:b/>
          <w:color w:val="434343"/>
          <w:sz w:val="18"/>
          <w:szCs w:val="18"/>
        </w:rPr>
      </w:pPr>
    </w:p>
    <w:bookmarkStart w:id="3" w:name="_cm0qssfkw66b" w:colFirst="0" w:colLast="0"/>
    <w:bookmarkEnd w:id="3"/>
    <w:p w14:paraId="36ED3EAB" w14:textId="77777777" w:rsidR="00F102CC" w:rsidRDefault="002C6392">
      <w:pPr>
        <w:spacing w:before="80"/>
      </w:pPr>
      <w:r>
        <w:pict w14:anchorId="184E2663">
          <v:rect id="Horizontal Line 1" o:spid="_x0000_s2050" alt="" style="width:482.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8">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lastRenderedPageBreak/>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9"/>
      <w:footerReference w:type="default" r:id="rId20"/>
      <w:headerReference w:type="first" r:id="rId21"/>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9950DE" w14:textId="77777777" w:rsidR="002C6392" w:rsidRDefault="002C6392">
      <w:r>
        <w:separator/>
      </w:r>
    </w:p>
  </w:endnote>
  <w:endnote w:type="continuationSeparator" w:id="0">
    <w:p w14:paraId="0B9876FC" w14:textId="77777777" w:rsidR="002C6392" w:rsidRDefault="002C6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panose1 w:val="020B0502040504020204"/>
    <w:charset w:val="00"/>
    <w:family w:val="swiss"/>
    <w:pitch w:val="variable"/>
    <w:sig w:usb0="E00082FF" w:usb1="400078FF" w:usb2="00000021" w:usb3="00000000" w:csb0="0000019F" w:csb1="00000000"/>
  </w:font>
  <w:font w:name="Roboto">
    <w:panose1 w:val="02000000000000000000"/>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706DA5" w14:textId="77777777" w:rsidR="002C6392" w:rsidRDefault="002C6392">
      <w:r>
        <w:separator/>
      </w:r>
    </w:p>
  </w:footnote>
  <w:footnote w:type="continuationSeparator" w:id="0">
    <w:p w14:paraId="525CE023" w14:textId="77777777" w:rsidR="002C6392" w:rsidRDefault="002C63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A02DB"/>
    <w:rsid w:val="001B3BCC"/>
    <w:rsid w:val="002209A8"/>
    <w:rsid w:val="002C6392"/>
    <w:rsid w:val="002E1D3A"/>
    <w:rsid w:val="003D5AF6"/>
    <w:rsid w:val="00400C53"/>
    <w:rsid w:val="00427975"/>
    <w:rsid w:val="004E2C31"/>
    <w:rsid w:val="00597FC7"/>
    <w:rsid w:val="005B0259"/>
    <w:rsid w:val="005C4058"/>
    <w:rsid w:val="007054B6"/>
    <w:rsid w:val="007355CB"/>
    <w:rsid w:val="0078687E"/>
    <w:rsid w:val="009839CD"/>
    <w:rsid w:val="009C7B26"/>
    <w:rsid w:val="00A11E52"/>
    <w:rsid w:val="00B2483D"/>
    <w:rsid w:val="00B86355"/>
    <w:rsid w:val="00BD41E9"/>
    <w:rsid w:val="00BE48BE"/>
    <w:rsid w:val="00C84413"/>
    <w:rsid w:val="00CC1C0A"/>
    <w:rsid w:val="00D9771F"/>
    <w:rsid w:val="00F102CC"/>
    <w:rsid w:val="00F91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 w:type="character" w:styleId="Hyperlink">
    <w:name w:val="Hyperlink"/>
    <w:basedOn w:val="DefaultParagraphFont"/>
    <w:uiPriority w:val="99"/>
    <w:unhideWhenUsed/>
    <w:rsid w:val="002E1D3A"/>
    <w:rPr>
      <w:color w:val="0000FF" w:themeColor="hyperlink"/>
      <w:u w:val="single"/>
    </w:rPr>
  </w:style>
  <w:style w:type="paragraph" w:customStyle="1" w:styleId="Bibliography20">
    <w:name w:val="Bibliography20"/>
    <w:basedOn w:val="Normal"/>
    <w:rsid w:val="002E1D3A"/>
    <w:pPr>
      <w:widowControl/>
      <w:spacing w:before="100" w:beforeAutospacing="1" w:after="100" w:afterAutospacing="1"/>
    </w:pPr>
    <w:rPr>
      <w:rFonts w:ascii="Times New Roman" w:eastAsiaTheme="minorEastAsia" w:hAnsi="Times New Roman" w:cs="Times New Roman"/>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yperlink" Target="https://doi.org/10.7554/eLife.48175"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hyperlink" Target="https://github.com/hfyuanuq/atac-pub" TargetMode="External"/><Relationship Id="rId2" Type="http://schemas.openxmlformats.org/officeDocument/2006/relationships/styles" Target="styles.xml"/><Relationship Id="rId16" Type="http://schemas.openxmlformats.org/officeDocument/2006/relationships/hyperlink" Target="https://github.com/hfyuanuq/atac-pub"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17504/protocols.io.ewov12j8ogr2/v1" TargetMode="External"/><Relationship Id="rId23" Type="http://schemas.openxmlformats.org/officeDocument/2006/relationships/theme" Target="theme/theme1.xml"/><Relationship Id="rId10" Type="http://schemas.openxmlformats.org/officeDocument/2006/relationships/hyperlink" Target="http://www.plosbiology.org/article/info:doi/10.1371/journal.pbio.1000412"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1931</Words>
  <Characters>11008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Bernard Degnan</cp:lastModifiedBy>
  <cp:revision>4</cp:revision>
  <dcterms:created xsi:type="dcterms:W3CDTF">2026-10-06T05:20:00Z</dcterms:created>
  <dcterms:modified xsi:type="dcterms:W3CDTF">2026-10-06T22:56:00Z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2026-10-06T05:18:25Z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e359ed99-c442-4f21-b5f0-5a7bf39cce68</vt:lpwstr>
  </property>
  <property fmtid="{D5CDD505-2E9C-101B-9397-08002B2CF9AE}" pid="8" name="MSIP_Label_0f488380-630a-4f55-a077-a19445e3f360_ContentBits">
    <vt:lpwstr>0</vt:lpwstr>
  </property>
  <property fmtid="{D5CDD505-2E9C-101B-9397-08002B2CF9AE}" pid="9" name="MSIP_Label_0f488380-630a-4f55-a077-a19445e3f360_Tag">
    <vt:lpwstr>50, 3, 0, 1</vt:lpwstr>
  </property>
</Properties>
</file>