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DBF90" w14:textId="77777777" w:rsidR="00C233A8" w:rsidRDefault="00C233A8" w:rsidP="00693009">
      <w:pPr>
        <w:jc w:val="center"/>
      </w:pPr>
    </w:p>
    <w:p w14:paraId="67762B03" w14:textId="6E6E91E8" w:rsidR="00C233A8" w:rsidRDefault="00C233A8">
      <w:pPr>
        <w:spacing w:after="160" w:line="278" w:lineRule="auto"/>
        <w:jc w:val="left"/>
      </w:pPr>
    </w:p>
    <w:p w14:paraId="4ACDE48B" w14:textId="18FAC577" w:rsidR="00693009" w:rsidRDefault="00693009" w:rsidP="00693009">
      <w:pPr>
        <w:jc w:val="center"/>
      </w:pPr>
      <w:r>
        <w:rPr>
          <w:noProof/>
        </w:rPr>
        <w:drawing>
          <wp:inline distT="0" distB="0" distL="0" distR="0" wp14:anchorId="3ACBB38E" wp14:editId="33B420A3">
            <wp:extent cx="1543050" cy="414655"/>
            <wp:effectExtent l="0" t="0" r="0" b="0"/>
            <wp:docPr id="15" name="image1.png" descr="https://www.biorxiv.org/sites/default/files/site_logo/bioRxiv_logo_homep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biorxiv.org/sites/default/files/site_logo/bioRxiv_logo_homepage.png"/>
                    <pic:cNvPicPr preferRelativeResize="0"/>
                  </pic:nvPicPr>
                  <pic:blipFill>
                    <a:blip r:embed="rId5"/>
                    <a:srcRect b="22636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14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C57B84" w14:textId="77777777" w:rsidR="00693009" w:rsidRDefault="00693009" w:rsidP="00693009">
      <w:pPr>
        <w:jc w:val="center"/>
      </w:pPr>
    </w:p>
    <w:p w14:paraId="4E205AAF" w14:textId="77777777" w:rsidR="00693009" w:rsidRDefault="00693009" w:rsidP="00693009">
      <w:pPr>
        <w:jc w:val="center"/>
      </w:pPr>
    </w:p>
    <w:p w14:paraId="4A43BC59" w14:textId="49CFB932" w:rsidR="00693009" w:rsidRPr="009A1655" w:rsidRDefault="00693009" w:rsidP="00693009">
      <w:pPr>
        <w:pStyle w:val="p1"/>
        <w:jc w:val="center"/>
        <w:rPr>
          <w:rFonts w:ascii="Helvetica" w:hAnsi="Helvetica"/>
        </w:rPr>
      </w:pPr>
      <w:r w:rsidRPr="009A1655">
        <w:rPr>
          <w:rFonts w:ascii="Helvetica" w:hAnsi="Helvetica"/>
        </w:rPr>
        <w:t xml:space="preserve">Supplementary </w:t>
      </w:r>
      <w:r w:rsidR="00F83766">
        <w:rPr>
          <w:rFonts w:ascii="Helvetica" w:hAnsi="Helvetica"/>
        </w:rPr>
        <w:t xml:space="preserve">File 1 </w:t>
      </w:r>
    </w:p>
    <w:p w14:paraId="239D74D5" w14:textId="77777777" w:rsidR="00693009" w:rsidRDefault="00693009" w:rsidP="00693009">
      <w:pPr>
        <w:jc w:val="center"/>
      </w:pPr>
    </w:p>
    <w:p w14:paraId="6A97C254" w14:textId="77777777" w:rsidR="00693009" w:rsidRDefault="00693009" w:rsidP="00693009">
      <w:pPr>
        <w:jc w:val="center"/>
      </w:pPr>
    </w:p>
    <w:p w14:paraId="5B06FE22" w14:textId="77777777" w:rsidR="00693009" w:rsidRDefault="00693009" w:rsidP="00693009">
      <w:pPr>
        <w:jc w:val="center"/>
      </w:pPr>
    </w:p>
    <w:p w14:paraId="36505497" w14:textId="77777777" w:rsidR="00693009" w:rsidRDefault="00693009" w:rsidP="00693009">
      <w:pPr>
        <w:jc w:val="center"/>
      </w:pPr>
    </w:p>
    <w:p w14:paraId="42C9F075" w14:textId="77777777" w:rsidR="00693009" w:rsidRDefault="00693009" w:rsidP="006930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</w:rPr>
      </w:pPr>
      <w:r w:rsidRPr="009A1655"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</w:rPr>
        <w:t>In-cell cryo-electron tomography reveals differential effects of type I and type II kinase inhibitors on LRRK2 filament formation and microtubule association</w:t>
      </w:r>
    </w:p>
    <w:p w14:paraId="581A9CE8" w14:textId="77777777" w:rsidR="00693009" w:rsidRPr="009A1655" w:rsidRDefault="00693009" w:rsidP="006930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bCs/>
          <w:color w:val="000000"/>
          <w:sz w:val="28"/>
          <w:szCs w:val="28"/>
        </w:rPr>
      </w:pPr>
    </w:p>
    <w:p w14:paraId="10025969" w14:textId="4F1A900F" w:rsidR="00693009" w:rsidRPr="009A1655" w:rsidRDefault="00693009" w:rsidP="006930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color w:val="000000"/>
          <w:sz w:val="22"/>
          <w:szCs w:val="22"/>
          <w:vertAlign w:val="superscript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T.</w:t>
      </w:r>
      <w:r w:rsidRPr="009A165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Basiashvili,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J.</w:t>
      </w:r>
      <w:r w:rsidRPr="009A165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Hutchings,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S.</w:t>
      </w:r>
      <w:r w:rsidRPr="009A165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Chen,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E.</w:t>
      </w:r>
      <w:r w:rsidRPr="009A165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C2CED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P. </w:t>
      </w:r>
      <w:r w:rsidRPr="009A165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Karasmanis, </w:t>
      </w:r>
      <w:r w:rsidR="002C2CED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W.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A.</w:t>
      </w:r>
      <w:r w:rsidRPr="009A165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Flaherty,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A.</w:t>
      </w:r>
      <w:r w:rsidRPr="009A165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C2CED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E. </w:t>
      </w:r>
      <w:r w:rsidRPr="009A165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Leschziner, 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>E.</w:t>
      </w:r>
      <w:r w:rsidRPr="009A1655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Villa</w:t>
      </w:r>
    </w:p>
    <w:p w14:paraId="452CBE8D" w14:textId="77777777" w:rsidR="00693009" w:rsidRDefault="00693009" w:rsidP="00693009">
      <w:pPr>
        <w:rPr>
          <w:rFonts w:ascii="Helvetica Neue" w:eastAsia="Helvetica Neue" w:hAnsi="Helvetica Neue" w:cs="Helvetica Neue"/>
          <w:sz w:val="18"/>
          <w:szCs w:val="18"/>
        </w:rPr>
      </w:pPr>
    </w:p>
    <w:p w14:paraId="609703E8" w14:textId="77777777" w:rsidR="00693009" w:rsidRDefault="00693009" w:rsidP="00693009">
      <w:pPr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*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Helvetica Neue" w:eastAsia="Helvetica Neue" w:hAnsi="Helvetica Neue" w:cs="Helvetica Neue"/>
          <w:sz w:val="18"/>
          <w:szCs w:val="18"/>
        </w:rPr>
        <w:t>Co-Corresponding authors: A.L. (aleschziner@ucsd.edu) E.V. (evilla@ucsd.edu)</w:t>
      </w:r>
    </w:p>
    <w:p w14:paraId="1C7DCF93" w14:textId="77777777" w:rsidR="00693009" w:rsidRDefault="00693009" w:rsidP="00693009">
      <w:pPr>
        <w:rPr>
          <w:rFonts w:ascii="Helvetica Neue" w:eastAsia="Helvetica Neue" w:hAnsi="Helvetica Neue" w:cs="Helvetica Neue"/>
          <w:sz w:val="18"/>
          <w:szCs w:val="18"/>
        </w:rPr>
      </w:pPr>
    </w:p>
    <w:p w14:paraId="2190EA49" w14:textId="77777777" w:rsidR="00693009" w:rsidRDefault="00693009" w:rsidP="00693009">
      <w:pPr>
        <w:spacing w:before="120"/>
        <w:jc w:val="center"/>
        <w:textDirection w:val="btLr"/>
        <w:rPr>
          <w:rFonts w:ascii="Helvetica Neue" w:eastAsia="Helvetica Neue" w:hAnsi="Helvetica Neue" w:cs="Helvetica Neue"/>
          <w:b/>
          <w:color w:val="C00000"/>
          <w:sz w:val="28"/>
        </w:rPr>
      </w:pPr>
    </w:p>
    <w:p w14:paraId="4F78A89E" w14:textId="77777777" w:rsidR="00693009" w:rsidRDefault="00693009" w:rsidP="00693009">
      <w:pPr>
        <w:spacing w:before="120"/>
        <w:jc w:val="center"/>
        <w:textDirection w:val="btLr"/>
        <w:rPr>
          <w:rFonts w:ascii="Helvetica Neue" w:eastAsia="Helvetica Neue" w:hAnsi="Helvetica Neue" w:cs="Helvetica Neue"/>
          <w:b/>
          <w:color w:val="C00000"/>
          <w:sz w:val="28"/>
        </w:rPr>
      </w:pPr>
    </w:p>
    <w:p w14:paraId="62E994C8" w14:textId="77777777" w:rsidR="00693009" w:rsidRDefault="00693009" w:rsidP="00693009">
      <w:pPr>
        <w:spacing w:before="120"/>
        <w:jc w:val="center"/>
        <w:textDirection w:val="btLr"/>
        <w:rPr>
          <w:rFonts w:ascii="Helvetica Neue" w:eastAsia="Helvetica Neue" w:hAnsi="Helvetica Neue" w:cs="Helvetica Neue"/>
          <w:b/>
          <w:color w:val="C00000"/>
          <w:sz w:val="28"/>
        </w:rPr>
      </w:pPr>
    </w:p>
    <w:p w14:paraId="5DD3A8AD" w14:textId="77777777" w:rsidR="00693009" w:rsidRDefault="00693009" w:rsidP="00693009">
      <w:pPr>
        <w:spacing w:before="120"/>
        <w:jc w:val="center"/>
        <w:textDirection w:val="btLr"/>
        <w:rPr>
          <w:rFonts w:ascii="Helvetica Neue" w:eastAsia="Helvetica Neue" w:hAnsi="Helvetica Neue" w:cs="Helvetica Neue"/>
          <w:b/>
          <w:color w:val="C00000"/>
          <w:sz w:val="28"/>
        </w:rPr>
      </w:pPr>
    </w:p>
    <w:p w14:paraId="1BFADECC" w14:textId="518A1783" w:rsidR="00693009" w:rsidRDefault="00693009" w:rsidP="00693009">
      <w:pPr>
        <w:spacing w:before="120"/>
        <w:jc w:val="center"/>
        <w:textDirection w:val="btLr"/>
        <w:rPr>
          <w:rFonts w:ascii="Helvetica Neue" w:eastAsia="Helvetica Neue" w:hAnsi="Helvetica Neue" w:cs="Helvetica Neue"/>
          <w:b/>
          <w:color w:val="C00000"/>
          <w:sz w:val="28"/>
        </w:rPr>
      </w:pPr>
      <w:r>
        <w:rPr>
          <w:rFonts w:ascii="Helvetica Neue" w:eastAsia="Helvetica Neue" w:hAnsi="Helvetica Neue" w:cs="Helvetica Neue"/>
          <w:b/>
          <w:color w:val="C00000"/>
          <w:sz w:val="28"/>
        </w:rPr>
        <w:t xml:space="preserve">Tables </w:t>
      </w:r>
      <w:r w:rsidR="00F83766">
        <w:rPr>
          <w:rFonts w:ascii="Helvetica Neue" w:eastAsia="Helvetica Neue" w:hAnsi="Helvetica Neue" w:cs="Helvetica Neue"/>
          <w:b/>
          <w:color w:val="C00000"/>
          <w:sz w:val="28"/>
        </w:rPr>
        <w:t>A-B</w:t>
      </w:r>
    </w:p>
    <w:p w14:paraId="3251813E" w14:textId="77777777" w:rsidR="00693009" w:rsidRDefault="00693009">
      <w:pPr>
        <w:spacing w:after="160" w:line="278" w:lineRule="auto"/>
        <w:jc w:val="left"/>
        <w:rPr>
          <w:rFonts w:ascii="Helvetica Neue" w:eastAsia="Helvetica Neue" w:hAnsi="Helvetica Neue" w:cs="Helvetica Neue"/>
          <w:b/>
          <w:color w:val="C00000"/>
          <w:sz w:val="28"/>
        </w:rPr>
      </w:pPr>
      <w:r>
        <w:rPr>
          <w:rFonts w:ascii="Helvetica Neue" w:eastAsia="Helvetica Neue" w:hAnsi="Helvetica Neue" w:cs="Helvetica Neue"/>
          <w:b/>
          <w:color w:val="C00000"/>
          <w:sz w:val="28"/>
        </w:rPr>
        <w:br w:type="page"/>
      </w:r>
    </w:p>
    <w:p w14:paraId="56D466EA" w14:textId="77777777" w:rsidR="00693009" w:rsidRPr="00671FE4" w:rsidRDefault="00693009" w:rsidP="00693009">
      <w:pPr>
        <w:spacing w:before="120"/>
        <w:jc w:val="center"/>
        <w:textDirection w:val="btLr"/>
      </w:pPr>
    </w:p>
    <w:p w14:paraId="02420BCF" w14:textId="77777777" w:rsidR="00693009" w:rsidRDefault="00693009" w:rsidP="006930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1425385E" w14:textId="3A527D56" w:rsidR="00693009" w:rsidRDefault="00693009">
      <w:pPr>
        <w:spacing w:after="160" w:line="278" w:lineRule="auto"/>
        <w:jc w:val="left"/>
      </w:pPr>
    </w:p>
    <w:p w14:paraId="40ECEABB" w14:textId="5A0BC88E" w:rsidR="00693009" w:rsidRPr="004C63D6" w:rsidRDefault="00693009" w:rsidP="00693009">
      <w:pPr>
        <w:pStyle w:val="Heading3"/>
        <w:rPr>
          <w:b/>
          <w:bCs/>
          <w:color w:val="C00000"/>
          <w:sz w:val="24"/>
          <w:szCs w:val="24"/>
        </w:rPr>
      </w:pPr>
      <w:r w:rsidRPr="004C63D6">
        <w:rPr>
          <w:b/>
          <w:bCs/>
          <w:color w:val="C00000"/>
          <w:sz w:val="24"/>
          <w:szCs w:val="24"/>
        </w:rPr>
        <w:t xml:space="preserve">Table </w:t>
      </w:r>
      <w:r w:rsidR="00F83766">
        <w:rPr>
          <w:b/>
          <w:bCs/>
          <w:color w:val="C00000"/>
          <w:sz w:val="24"/>
          <w:szCs w:val="24"/>
        </w:rPr>
        <w:t>A</w:t>
      </w:r>
      <w:r w:rsidRPr="004C63D6">
        <w:rPr>
          <w:b/>
          <w:bCs/>
          <w:color w:val="C00000"/>
          <w:sz w:val="24"/>
          <w:szCs w:val="24"/>
        </w:rPr>
        <w:t xml:space="preserve">. List of key reagents and tools used to perform this study. </w:t>
      </w:r>
    </w:p>
    <w:tbl>
      <w:tblPr>
        <w:tblW w:w="10426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0"/>
        <w:gridCol w:w="3690"/>
        <w:gridCol w:w="2146"/>
      </w:tblGrid>
      <w:tr w:rsidR="00693009" w14:paraId="2F054DFC" w14:textId="77777777" w:rsidTr="00A24696">
        <w:trPr>
          <w:jc w:val="center"/>
        </w:trPr>
        <w:tc>
          <w:tcPr>
            <w:tcW w:w="4590" w:type="dxa"/>
            <w:shd w:val="clear" w:color="auto" w:fill="CBD3DE"/>
          </w:tcPr>
          <w:p w14:paraId="5BF5DF6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Reagent or Resource</w:t>
            </w:r>
          </w:p>
        </w:tc>
        <w:tc>
          <w:tcPr>
            <w:tcW w:w="3690" w:type="dxa"/>
            <w:shd w:val="clear" w:color="auto" w:fill="CBD3DE"/>
          </w:tcPr>
          <w:p w14:paraId="02873EBE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Source</w:t>
            </w:r>
          </w:p>
        </w:tc>
        <w:tc>
          <w:tcPr>
            <w:tcW w:w="2146" w:type="dxa"/>
            <w:shd w:val="clear" w:color="auto" w:fill="CBD3DE"/>
          </w:tcPr>
          <w:p w14:paraId="197EC2D6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Catalog Number / Identifier</w:t>
            </w:r>
          </w:p>
        </w:tc>
      </w:tr>
      <w:tr w:rsidR="00693009" w14:paraId="43097C9A" w14:textId="77777777" w:rsidTr="00A24696">
        <w:trPr>
          <w:jc w:val="center"/>
        </w:trPr>
        <w:tc>
          <w:tcPr>
            <w:tcW w:w="10426" w:type="dxa"/>
            <w:gridSpan w:val="3"/>
            <w:shd w:val="clear" w:color="auto" w:fill="EAEDF1"/>
          </w:tcPr>
          <w:p w14:paraId="798D768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Chemicals, Peptides, and Recombinant proteins</w:t>
            </w:r>
          </w:p>
        </w:tc>
      </w:tr>
      <w:tr w:rsidR="00693009" w14:paraId="0BB21FB3" w14:textId="77777777" w:rsidTr="00A24696">
        <w:trPr>
          <w:jc w:val="center"/>
        </w:trPr>
        <w:tc>
          <w:tcPr>
            <w:tcW w:w="4590" w:type="dxa"/>
          </w:tcPr>
          <w:p w14:paraId="5DFDEC2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MLi-2</w:t>
            </w:r>
          </w:p>
        </w:tc>
        <w:tc>
          <w:tcPr>
            <w:tcW w:w="3690" w:type="dxa"/>
          </w:tcPr>
          <w:p w14:paraId="71593D3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Tocris</w:t>
            </w:r>
            <w:proofErr w:type="spellEnd"/>
          </w:p>
        </w:tc>
        <w:tc>
          <w:tcPr>
            <w:tcW w:w="2146" w:type="dxa"/>
          </w:tcPr>
          <w:p w14:paraId="078EC89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5756</w:t>
            </w:r>
          </w:p>
        </w:tc>
      </w:tr>
      <w:tr w:rsidR="00693009" w14:paraId="2ED69942" w14:textId="77777777" w:rsidTr="00A24696">
        <w:trPr>
          <w:jc w:val="center"/>
        </w:trPr>
        <w:tc>
          <w:tcPr>
            <w:tcW w:w="4590" w:type="dxa"/>
          </w:tcPr>
          <w:p w14:paraId="4B76DD82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Taxol (paclitaxel)</w:t>
            </w:r>
          </w:p>
        </w:tc>
        <w:tc>
          <w:tcPr>
            <w:tcW w:w="3690" w:type="dxa"/>
          </w:tcPr>
          <w:p w14:paraId="2A1CA902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Cell Signaling Technology</w:t>
            </w:r>
          </w:p>
        </w:tc>
        <w:tc>
          <w:tcPr>
            <w:tcW w:w="2146" w:type="dxa"/>
          </w:tcPr>
          <w:p w14:paraId="288C70F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9807</w:t>
            </w:r>
          </w:p>
        </w:tc>
      </w:tr>
      <w:tr w:rsidR="00693009" w14:paraId="65B9BE53" w14:textId="77777777" w:rsidTr="00A24696">
        <w:trPr>
          <w:jc w:val="center"/>
        </w:trPr>
        <w:tc>
          <w:tcPr>
            <w:tcW w:w="4590" w:type="dxa"/>
          </w:tcPr>
          <w:p w14:paraId="79C2578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GZD-824</w:t>
            </w:r>
          </w:p>
        </w:tc>
        <w:tc>
          <w:tcPr>
            <w:tcW w:w="3690" w:type="dxa"/>
          </w:tcPr>
          <w:p w14:paraId="2FA50574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Cayman Chemical</w:t>
            </w:r>
          </w:p>
        </w:tc>
        <w:tc>
          <w:tcPr>
            <w:tcW w:w="2146" w:type="dxa"/>
          </w:tcPr>
          <w:p w14:paraId="68CEEF2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21508</w:t>
            </w:r>
          </w:p>
        </w:tc>
      </w:tr>
      <w:tr w:rsidR="00693009" w14:paraId="713148AF" w14:textId="77777777" w:rsidTr="00A24696">
        <w:trPr>
          <w:jc w:val="center"/>
        </w:trPr>
        <w:tc>
          <w:tcPr>
            <w:tcW w:w="4590" w:type="dxa"/>
          </w:tcPr>
          <w:p w14:paraId="21C76C77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DNL201 (GNE0877)</w:t>
            </w:r>
          </w:p>
        </w:tc>
        <w:tc>
          <w:tcPr>
            <w:tcW w:w="3690" w:type="dxa"/>
          </w:tcPr>
          <w:p w14:paraId="7A98E3CC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MedChem</w:t>
            </w:r>
            <w:proofErr w:type="spellEnd"/>
            <w:r>
              <w:rPr>
                <w:rFonts w:ascii="Aptos" w:eastAsia="Aptos" w:hAnsi="Aptos" w:cs="Aptos"/>
              </w:rPr>
              <w:t xml:space="preserve"> Express</w:t>
            </w:r>
          </w:p>
        </w:tc>
        <w:tc>
          <w:tcPr>
            <w:tcW w:w="2146" w:type="dxa"/>
          </w:tcPr>
          <w:p w14:paraId="56680FC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color w:val="331515"/>
                <w:highlight w:val="white"/>
              </w:rPr>
              <w:t>HY-15796</w:t>
            </w:r>
          </w:p>
        </w:tc>
      </w:tr>
      <w:tr w:rsidR="00693009" w14:paraId="3FDEA564" w14:textId="77777777" w:rsidTr="00A24696">
        <w:trPr>
          <w:jc w:val="center"/>
        </w:trPr>
        <w:tc>
          <w:tcPr>
            <w:tcW w:w="4590" w:type="dxa"/>
          </w:tcPr>
          <w:p w14:paraId="0ABE5F2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Poly-L-Lysine solution 0.1% (w/v) in H</w:t>
            </w:r>
            <w:r>
              <w:rPr>
                <w:rFonts w:ascii="Aptos" w:eastAsia="Aptos" w:hAnsi="Aptos" w:cs="Aptos"/>
                <w:vertAlign w:val="subscript"/>
              </w:rPr>
              <w:t>2</w:t>
            </w:r>
            <w:r>
              <w:rPr>
                <w:rFonts w:ascii="Aptos" w:eastAsia="Aptos" w:hAnsi="Aptos" w:cs="Aptos"/>
              </w:rPr>
              <w:t>O (PLL-PEG)</w:t>
            </w:r>
          </w:p>
        </w:tc>
        <w:tc>
          <w:tcPr>
            <w:tcW w:w="3690" w:type="dxa"/>
          </w:tcPr>
          <w:p w14:paraId="4455457E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Millipore sigma</w:t>
            </w:r>
          </w:p>
        </w:tc>
        <w:tc>
          <w:tcPr>
            <w:tcW w:w="2146" w:type="dxa"/>
          </w:tcPr>
          <w:p w14:paraId="1657C2F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P8920</w:t>
            </w:r>
          </w:p>
        </w:tc>
      </w:tr>
      <w:tr w:rsidR="00693009" w14:paraId="7B15F76B" w14:textId="77777777" w:rsidTr="00A24696">
        <w:trPr>
          <w:jc w:val="center"/>
        </w:trPr>
        <w:tc>
          <w:tcPr>
            <w:tcW w:w="4590" w:type="dxa"/>
          </w:tcPr>
          <w:p w14:paraId="5B7BC13F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Fibronectin</w:t>
            </w:r>
          </w:p>
        </w:tc>
        <w:tc>
          <w:tcPr>
            <w:tcW w:w="3690" w:type="dxa"/>
          </w:tcPr>
          <w:p w14:paraId="35B1788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 (Gibco)</w:t>
            </w:r>
          </w:p>
        </w:tc>
        <w:tc>
          <w:tcPr>
            <w:tcW w:w="2146" w:type="dxa"/>
          </w:tcPr>
          <w:p w14:paraId="7468FF4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33016015</w:t>
            </w:r>
          </w:p>
        </w:tc>
      </w:tr>
      <w:tr w:rsidR="00693009" w14:paraId="4DCA261A" w14:textId="77777777" w:rsidTr="00A24696">
        <w:trPr>
          <w:jc w:val="center"/>
        </w:trPr>
        <w:tc>
          <w:tcPr>
            <w:tcW w:w="4590" w:type="dxa"/>
          </w:tcPr>
          <w:p w14:paraId="14C1BFB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Fetal Bovine Serum (FBS)</w:t>
            </w:r>
          </w:p>
        </w:tc>
        <w:tc>
          <w:tcPr>
            <w:tcW w:w="3690" w:type="dxa"/>
          </w:tcPr>
          <w:p w14:paraId="67E52626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 (Gibco)</w:t>
            </w:r>
          </w:p>
        </w:tc>
        <w:tc>
          <w:tcPr>
            <w:tcW w:w="2146" w:type="dxa"/>
          </w:tcPr>
          <w:p w14:paraId="5CF5690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A5209402</w:t>
            </w:r>
          </w:p>
        </w:tc>
      </w:tr>
      <w:tr w:rsidR="00693009" w14:paraId="675EB294" w14:textId="77777777" w:rsidTr="00A24696">
        <w:trPr>
          <w:jc w:val="center"/>
        </w:trPr>
        <w:tc>
          <w:tcPr>
            <w:tcW w:w="4590" w:type="dxa"/>
          </w:tcPr>
          <w:p w14:paraId="5F248C02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MEM NON-Essential Amino Acis (NEAA)</w:t>
            </w:r>
          </w:p>
        </w:tc>
        <w:tc>
          <w:tcPr>
            <w:tcW w:w="3690" w:type="dxa"/>
          </w:tcPr>
          <w:p w14:paraId="181C1D6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 (Gibco)</w:t>
            </w:r>
          </w:p>
        </w:tc>
        <w:tc>
          <w:tcPr>
            <w:tcW w:w="2146" w:type="dxa"/>
          </w:tcPr>
          <w:p w14:paraId="09A0580D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11140050</w:t>
            </w:r>
          </w:p>
        </w:tc>
      </w:tr>
      <w:tr w:rsidR="00693009" w14:paraId="48FECFB3" w14:textId="77777777" w:rsidTr="00A24696">
        <w:trPr>
          <w:jc w:val="center"/>
        </w:trPr>
        <w:tc>
          <w:tcPr>
            <w:tcW w:w="4590" w:type="dxa"/>
          </w:tcPr>
          <w:p w14:paraId="36F5B906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Geneticin</w:t>
            </w:r>
          </w:p>
        </w:tc>
        <w:tc>
          <w:tcPr>
            <w:tcW w:w="3690" w:type="dxa"/>
          </w:tcPr>
          <w:p w14:paraId="0BC7EC2E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 (Gibco)</w:t>
            </w:r>
          </w:p>
        </w:tc>
        <w:tc>
          <w:tcPr>
            <w:tcW w:w="2146" w:type="dxa"/>
          </w:tcPr>
          <w:p w14:paraId="0FBC61C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10131035</w:t>
            </w:r>
          </w:p>
        </w:tc>
      </w:tr>
      <w:tr w:rsidR="00693009" w14:paraId="55795361" w14:textId="77777777" w:rsidTr="00A24696">
        <w:trPr>
          <w:jc w:val="center"/>
        </w:trPr>
        <w:tc>
          <w:tcPr>
            <w:tcW w:w="4590" w:type="dxa"/>
          </w:tcPr>
          <w:p w14:paraId="7272F4C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Pen-Strep</w:t>
            </w:r>
          </w:p>
        </w:tc>
        <w:tc>
          <w:tcPr>
            <w:tcW w:w="3690" w:type="dxa"/>
          </w:tcPr>
          <w:p w14:paraId="3F25153D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 (Gibco)</w:t>
            </w:r>
          </w:p>
        </w:tc>
        <w:tc>
          <w:tcPr>
            <w:tcW w:w="2146" w:type="dxa"/>
          </w:tcPr>
          <w:p w14:paraId="0CAC9FC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15140122</w:t>
            </w:r>
          </w:p>
        </w:tc>
      </w:tr>
      <w:tr w:rsidR="00693009" w14:paraId="43EDC512" w14:textId="77777777" w:rsidTr="00A24696">
        <w:trPr>
          <w:jc w:val="center"/>
        </w:trPr>
        <w:tc>
          <w:tcPr>
            <w:tcW w:w="4590" w:type="dxa"/>
          </w:tcPr>
          <w:p w14:paraId="2A8086C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Sodium Pyruvate</w:t>
            </w:r>
          </w:p>
        </w:tc>
        <w:tc>
          <w:tcPr>
            <w:tcW w:w="3690" w:type="dxa"/>
          </w:tcPr>
          <w:p w14:paraId="1FBF78A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 (Gibco)</w:t>
            </w:r>
          </w:p>
        </w:tc>
        <w:tc>
          <w:tcPr>
            <w:tcW w:w="2146" w:type="dxa"/>
          </w:tcPr>
          <w:p w14:paraId="0F838764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11360070</w:t>
            </w:r>
          </w:p>
        </w:tc>
      </w:tr>
      <w:tr w:rsidR="00693009" w14:paraId="5865F46E" w14:textId="77777777" w:rsidTr="00A24696">
        <w:trPr>
          <w:jc w:val="center"/>
        </w:trPr>
        <w:tc>
          <w:tcPr>
            <w:tcW w:w="4590" w:type="dxa"/>
          </w:tcPr>
          <w:p w14:paraId="13AE10C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DMEM (high-glucose)</w:t>
            </w:r>
          </w:p>
        </w:tc>
        <w:tc>
          <w:tcPr>
            <w:tcW w:w="3690" w:type="dxa"/>
          </w:tcPr>
          <w:p w14:paraId="17C6F9A4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 (Gibco)</w:t>
            </w:r>
          </w:p>
        </w:tc>
        <w:tc>
          <w:tcPr>
            <w:tcW w:w="2146" w:type="dxa"/>
          </w:tcPr>
          <w:p w14:paraId="4763BD67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11965092</w:t>
            </w:r>
          </w:p>
        </w:tc>
      </w:tr>
      <w:tr w:rsidR="00693009" w14:paraId="29800A48" w14:textId="77777777" w:rsidTr="00A24696">
        <w:trPr>
          <w:jc w:val="center"/>
        </w:trPr>
        <w:tc>
          <w:tcPr>
            <w:tcW w:w="4590" w:type="dxa"/>
          </w:tcPr>
          <w:p w14:paraId="5A5EFBE6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DMSO, Anhydrous</w:t>
            </w:r>
          </w:p>
        </w:tc>
        <w:tc>
          <w:tcPr>
            <w:tcW w:w="3690" w:type="dxa"/>
          </w:tcPr>
          <w:p w14:paraId="08F27B87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</w:t>
            </w:r>
          </w:p>
        </w:tc>
        <w:tc>
          <w:tcPr>
            <w:tcW w:w="2146" w:type="dxa"/>
          </w:tcPr>
          <w:p w14:paraId="59799CC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D12345</w:t>
            </w:r>
          </w:p>
        </w:tc>
      </w:tr>
      <w:tr w:rsidR="00693009" w14:paraId="0407D813" w14:textId="77777777" w:rsidTr="00A24696">
        <w:trPr>
          <w:jc w:val="center"/>
        </w:trPr>
        <w:tc>
          <w:tcPr>
            <w:tcW w:w="4590" w:type="dxa"/>
          </w:tcPr>
          <w:p w14:paraId="3017486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Trypsin-EDTA 0.25%</w:t>
            </w:r>
          </w:p>
        </w:tc>
        <w:tc>
          <w:tcPr>
            <w:tcW w:w="3690" w:type="dxa"/>
          </w:tcPr>
          <w:p w14:paraId="0841152D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</w:t>
            </w:r>
          </w:p>
        </w:tc>
        <w:tc>
          <w:tcPr>
            <w:tcW w:w="2146" w:type="dxa"/>
          </w:tcPr>
          <w:p w14:paraId="43D60197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25200056</w:t>
            </w:r>
          </w:p>
        </w:tc>
      </w:tr>
      <w:tr w:rsidR="00693009" w14:paraId="59696315" w14:textId="77777777" w:rsidTr="00A24696">
        <w:trPr>
          <w:jc w:val="center"/>
        </w:trPr>
        <w:tc>
          <w:tcPr>
            <w:tcW w:w="10426" w:type="dxa"/>
            <w:gridSpan w:val="3"/>
            <w:shd w:val="clear" w:color="auto" w:fill="EAEDF1"/>
          </w:tcPr>
          <w:p w14:paraId="3BF8F8B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Critical Commercial Assays</w:t>
            </w:r>
          </w:p>
        </w:tc>
      </w:tr>
      <w:tr w:rsidR="00693009" w14:paraId="3EB97967" w14:textId="77777777" w:rsidTr="00A24696">
        <w:trPr>
          <w:jc w:val="center"/>
        </w:trPr>
        <w:tc>
          <w:tcPr>
            <w:tcW w:w="4590" w:type="dxa"/>
          </w:tcPr>
          <w:p w14:paraId="3B0B1317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Lipofectamine 3000 Transfection Reagent</w:t>
            </w:r>
          </w:p>
        </w:tc>
        <w:tc>
          <w:tcPr>
            <w:tcW w:w="3690" w:type="dxa"/>
          </w:tcPr>
          <w:p w14:paraId="32E839DD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</w:t>
            </w:r>
          </w:p>
        </w:tc>
        <w:tc>
          <w:tcPr>
            <w:tcW w:w="2146" w:type="dxa"/>
          </w:tcPr>
          <w:p w14:paraId="1200AB54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L3000001</w:t>
            </w:r>
          </w:p>
        </w:tc>
      </w:tr>
      <w:tr w:rsidR="00693009" w14:paraId="19AA185D" w14:textId="77777777" w:rsidTr="00A24696">
        <w:trPr>
          <w:jc w:val="center"/>
        </w:trPr>
        <w:tc>
          <w:tcPr>
            <w:tcW w:w="10426" w:type="dxa"/>
            <w:gridSpan w:val="3"/>
            <w:shd w:val="clear" w:color="auto" w:fill="EAEDF1"/>
          </w:tcPr>
          <w:p w14:paraId="6C732D9F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Deposited Data</w:t>
            </w:r>
          </w:p>
        </w:tc>
      </w:tr>
      <w:tr w:rsidR="00693009" w14:paraId="2FF30AE1" w14:textId="77777777" w:rsidTr="00A24696">
        <w:trPr>
          <w:jc w:val="center"/>
        </w:trPr>
        <w:tc>
          <w:tcPr>
            <w:tcW w:w="4590" w:type="dxa"/>
          </w:tcPr>
          <w:p w14:paraId="2D7554F8" w14:textId="77777777" w:rsidR="00693009" w:rsidRPr="00807CA8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3690" w:type="dxa"/>
          </w:tcPr>
          <w:p w14:paraId="094975E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2146" w:type="dxa"/>
          </w:tcPr>
          <w:p w14:paraId="623BECA9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</w:p>
        </w:tc>
      </w:tr>
      <w:tr w:rsidR="00693009" w14:paraId="6B02B1E3" w14:textId="77777777" w:rsidTr="00A24696">
        <w:trPr>
          <w:jc w:val="center"/>
        </w:trPr>
        <w:tc>
          <w:tcPr>
            <w:tcW w:w="10426" w:type="dxa"/>
            <w:gridSpan w:val="3"/>
            <w:shd w:val="clear" w:color="auto" w:fill="EAEDF1"/>
          </w:tcPr>
          <w:p w14:paraId="19F51A67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Cell Line</w:t>
            </w:r>
          </w:p>
        </w:tc>
      </w:tr>
      <w:tr w:rsidR="00693009" w14:paraId="01E3FE5A" w14:textId="77777777" w:rsidTr="00A24696">
        <w:trPr>
          <w:jc w:val="center"/>
        </w:trPr>
        <w:tc>
          <w:tcPr>
            <w:tcW w:w="4590" w:type="dxa"/>
          </w:tcPr>
          <w:p w14:paraId="616F54D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HEK293FT cells</w:t>
            </w:r>
          </w:p>
        </w:tc>
        <w:tc>
          <w:tcPr>
            <w:tcW w:w="3690" w:type="dxa"/>
          </w:tcPr>
          <w:p w14:paraId="0715997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</w:t>
            </w:r>
          </w:p>
        </w:tc>
        <w:tc>
          <w:tcPr>
            <w:tcW w:w="2146" w:type="dxa"/>
          </w:tcPr>
          <w:p w14:paraId="62AC2A6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R70007</w:t>
            </w:r>
          </w:p>
        </w:tc>
      </w:tr>
      <w:tr w:rsidR="00693009" w14:paraId="2605F5C2" w14:textId="77777777" w:rsidTr="00A24696">
        <w:trPr>
          <w:jc w:val="center"/>
        </w:trPr>
        <w:tc>
          <w:tcPr>
            <w:tcW w:w="10426" w:type="dxa"/>
            <w:gridSpan w:val="3"/>
            <w:shd w:val="clear" w:color="auto" w:fill="EAEDF1"/>
          </w:tcPr>
          <w:p w14:paraId="22A16E02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Recombinant DNA</w:t>
            </w:r>
          </w:p>
        </w:tc>
      </w:tr>
      <w:tr w:rsidR="00693009" w14:paraId="1E805D30" w14:textId="77777777" w:rsidTr="00A24696">
        <w:trPr>
          <w:jc w:val="center"/>
        </w:trPr>
        <w:tc>
          <w:tcPr>
            <w:tcW w:w="4590" w:type="dxa"/>
          </w:tcPr>
          <w:p w14:paraId="4DB1D257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GFP-LRRK2-WT</w:t>
            </w:r>
          </w:p>
        </w:tc>
        <w:tc>
          <w:tcPr>
            <w:tcW w:w="3690" w:type="dxa"/>
          </w:tcPr>
          <w:p w14:paraId="39DF3CA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Addgene</w:t>
            </w:r>
            <w:proofErr w:type="spellEnd"/>
          </w:p>
        </w:tc>
        <w:tc>
          <w:tcPr>
            <w:tcW w:w="2146" w:type="dxa"/>
          </w:tcPr>
          <w:p w14:paraId="4426C5D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25044</w:t>
            </w:r>
          </w:p>
        </w:tc>
      </w:tr>
      <w:tr w:rsidR="00693009" w14:paraId="353977BC" w14:textId="77777777" w:rsidTr="00A24696">
        <w:trPr>
          <w:jc w:val="center"/>
        </w:trPr>
        <w:tc>
          <w:tcPr>
            <w:tcW w:w="4590" w:type="dxa"/>
          </w:tcPr>
          <w:p w14:paraId="3D83C7FD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GFP-LRRK2-I2020T</w:t>
            </w:r>
          </w:p>
        </w:tc>
        <w:tc>
          <w:tcPr>
            <w:tcW w:w="3690" w:type="dxa"/>
          </w:tcPr>
          <w:p w14:paraId="039C0EAE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Watanabe et al. 2021</w:t>
            </w:r>
          </w:p>
        </w:tc>
        <w:tc>
          <w:tcPr>
            <w:tcW w:w="2146" w:type="dxa"/>
          </w:tcPr>
          <w:p w14:paraId="14EBCD8E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</w:p>
        </w:tc>
      </w:tr>
      <w:tr w:rsidR="00693009" w14:paraId="00B7B8D8" w14:textId="77777777" w:rsidTr="00A24696">
        <w:trPr>
          <w:jc w:val="center"/>
        </w:trPr>
        <w:tc>
          <w:tcPr>
            <w:tcW w:w="4590" w:type="dxa"/>
          </w:tcPr>
          <w:p w14:paraId="78B3352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GFP-LRRK2-G2019S</w:t>
            </w:r>
          </w:p>
        </w:tc>
        <w:tc>
          <w:tcPr>
            <w:tcW w:w="3690" w:type="dxa"/>
          </w:tcPr>
          <w:p w14:paraId="0E0AC21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Addgene</w:t>
            </w:r>
            <w:proofErr w:type="spellEnd"/>
          </w:p>
        </w:tc>
        <w:tc>
          <w:tcPr>
            <w:tcW w:w="2146" w:type="dxa"/>
          </w:tcPr>
          <w:p w14:paraId="4DC459D9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25045</w:t>
            </w:r>
          </w:p>
        </w:tc>
      </w:tr>
      <w:tr w:rsidR="00693009" w14:paraId="28052561" w14:textId="77777777" w:rsidTr="00A24696">
        <w:trPr>
          <w:jc w:val="center"/>
        </w:trPr>
        <w:tc>
          <w:tcPr>
            <w:tcW w:w="10426" w:type="dxa"/>
            <w:gridSpan w:val="3"/>
            <w:shd w:val="clear" w:color="auto" w:fill="EAEDF1"/>
          </w:tcPr>
          <w:p w14:paraId="233AF63C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Software and Algorithms</w:t>
            </w:r>
          </w:p>
        </w:tc>
      </w:tr>
      <w:tr w:rsidR="00693009" w14:paraId="4EF6A5C2" w14:textId="77777777" w:rsidTr="00A24696">
        <w:trPr>
          <w:jc w:val="center"/>
        </w:trPr>
        <w:tc>
          <w:tcPr>
            <w:tcW w:w="4590" w:type="dxa"/>
          </w:tcPr>
          <w:p w14:paraId="6877C77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TFS TUI for Aquilos</w:t>
            </w:r>
          </w:p>
        </w:tc>
        <w:tc>
          <w:tcPr>
            <w:tcW w:w="3690" w:type="dxa"/>
          </w:tcPr>
          <w:p w14:paraId="562B7AB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</w:t>
            </w:r>
          </w:p>
        </w:tc>
        <w:tc>
          <w:tcPr>
            <w:tcW w:w="2146" w:type="dxa"/>
          </w:tcPr>
          <w:p w14:paraId="5D102209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20988EF6" w14:textId="77777777" w:rsidTr="00A24696">
        <w:trPr>
          <w:jc w:val="center"/>
        </w:trPr>
        <w:tc>
          <w:tcPr>
            <w:tcW w:w="4590" w:type="dxa"/>
          </w:tcPr>
          <w:p w14:paraId="6741F24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MAPS 3.24</w:t>
            </w:r>
          </w:p>
        </w:tc>
        <w:tc>
          <w:tcPr>
            <w:tcW w:w="3690" w:type="dxa"/>
          </w:tcPr>
          <w:p w14:paraId="67F919E2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</w:t>
            </w:r>
          </w:p>
        </w:tc>
        <w:tc>
          <w:tcPr>
            <w:tcW w:w="2146" w:type="dxa"/>
          </w:tcPr>
          <w:p w14:paraId="5A62EFD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60487685" w14:textId="77777777" w:rsidTr="00A24696">
        <w:trPr>
          <w:jc w:val="center"/>
        </w:trPr>
        <w:tc>
          <w:tcPr>
            <w:tcW w:w="4590" w:type="dxa"/>
          </w:tcPr>
          <w:p w14:paraId="17B12426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iFLM V2</w:t>
            </w:r>
          </w:p>
        </w:tc>
        <w:tc>
          <w:tcPr>
            <w:tcW w:w="3690" w:type="dxa"/>
          </w:tcPr>
          <w:p w14:paraId="01C482CD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Thermo Fisher Scientific</w:t>
            </w:r>
          </w:p>
        </w:tc>
        <w:tc>
          <w:tcPr>
            <w:tcW w:w="2146" w:type="dxa"/>
          </w:tcPr>
          <w:p w14:paraId="6ADAA067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5D789203" w14:textId="77777777" w:rsidTr="00A24696">
        <w:trPr>
          <w:jc w:val="center"/>
        </w:trPr>
        <w:tc>
          <w:tcPr>
            <w:tcW w:w="4590" w:type="dxa"/>
          </w:tcPr>
          <w:p w14:paraId="56F7BAAF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Serial EM</w:t>
            </w:r>
          </w:p>
        </w:tc>
        <w:tc>
          <w:tcPr>
            <w:tcW w:w="3690" w:type="dxa"/>
          </w:tcPr>
          <w:p w14:paraId="78C1BAC4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Mastronarde</w:t>
            </w:r>
            <w:proofErr w:type="spellEnd"/>
            <w:r>
              <w:rPr>
                <w:rFonts w:ascii="Aptos" w:eastAsia="Aptos" w:hAnsi="Aptos" w:cs="Aptos"/>
              </w:rPr>
              <w:t>, 2005</w:t>
            </w:r>
          </w:p>
        </w:tc>
        <w:tc>
          <w:tcPr>
            <w:tcW w:w="2146" w:type="dxa"/>
          </w:tcPr>
          <w:p w14:paraId="3B26E05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41F1F2DB" w14:textId="77777777" w:rsidTr="00A24696">
        <w:trPr>
          <w:jc w:val="center"/>
        </w:trPr>
        <w:tc>
          <w:tcPr>
            <w:tcW w:w="4590" w:type="dxa"/>
          </w:tcPr>
          <w:p w14:paraId="75867054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Pace-</w:t>
            </w:r>
            <w:proofErr w:type="spellStart"/>
            <w:r>
              <w:rPr>
                <w:rFonts w:ascii="Aptos" w:eastAsia="Aptos" w:hAnsi="Aptos" w:cs="Aptos"/>
              </w:rPr>
              <w:t>Tomo</w:t>
            </w:r>
            <w:proofErr w:type="spellEnd"/>
          </w:p>
        </w:tc>
        <w:tc>
          <w:tcPr>
            <w:tcW w:w="3690" w:type="dxa"/>
          </w:tcPr>
          <w:p w14:paraId="41902E4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Eisenstein et al., 2023</w:t>
            </w:r>
          </w:p>
        </w:tc>
        <w:tc>
          <w:tcPr>
            <w:tcW w:w="2146" w:type="dxa"/>
          </w:tcPr>
          <w:p w14:paraId="534CBCC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35F100C5" w14:textId="77777777" w:rsidTr="00A24696">
        <w:trPr>
          <w:jc w:val="center"/>
        </w:trPr>
        <w:tc>
          <w:tcPr>
            <w:tcW w:w="4590" w:type="dxa"/>
          </w:tcPr>
          <w:p w14:paraId="79FEA4F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lastRenderedPageBreak/>
              <w:t>Warp 1.0.9 / beta 1</w:t>
            </w:r>
          </w:p>
        </w:tc>
        <w:tc>
          <w:tcPr>
            <w:tcW w:w="3690" w:type="dxa"/>
          </w:tcPr>
          <w:p w14:paraId="390C20D4" w14:textId="77777777" w:rsidR="00693009" w:rsidRPr="009A1655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  <w:lang w:val="es-ES"/>
              </w:rPr>
            </w:pPr>
            <w:proofErr w:type="spellStart"/>
            <w:r w:rsidRPr="009A1655">
              <w:rPr>
                <w:rFonts w:ascii="Aptos" w:eastAsia="Aptos" w:hAnsi="Aptos" w:cs="Aptos"/>
                <w:lang w:val="es-ES"/>
              </w:rPr>
              <w:t>Tegunov</w:t>
            </w:r>
            <w:proofErr w:type="spellEnd"/>
            <w:r w:rsidRPr="009A1655">
              <w:rPr>
                <w:rFonts w:ascii="Aptos" w:eastAsia="Aptos" w:hAnsi="Aptos" w:cs="Aptos"/>
                <w:lang w:val="es-ES"/>
              </w:rPr>
              <w:t xml:space="preserve"> et al., 2021, </w:t>
            </w:r>
            <w:proofErr w:type="spellStart"/>
            <w:r w:rsidRPr="009A1655">
              <w:rPr>
                <w:rFonts w:ascii="Aptos" w:eastAsia="Aptos" w:hAnsi="Aptos" w:cs="Aptos"/>
                <w:lang w:val="es-ES"/>
              </w:rPr>
              <w:t>Tegunov</w:t>
            </w:r>
            <w:proofErr w:type="spellEnd"/>
            <w:r w:rsidRPr="009A1655">
              <w:rPr>
                <w:rFonts w:ascii="Aptos" w:eastAsia="Aptos" w:hAnsi="Aptos" w:cs="Aptos"/>
                <w:lang w:val="es-ES"/>
              </w:rPr>
              <w:t xml:space="preserve"> et al., 2019</w:t>
            </w:r>
          </w:p>
        </w:tc>
        <w:tc>
          <w:tcPr>
            <w:tcW w:w="2146" w:type="dxa"/>
          </w:tcPr>
          <w:p w14:paraId="2154313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71A968C7" w14:textId="77777777" w:rsidTr="00A24696">
        <w:trPr>
          <w:jc w:val="center"/>
        </w:trPr>
        <w:tc>
          <w:tcPr>
            <w:tcW w:w="4590" w:type="dxa"/>
          </w:tcPr>
          <w:p w14:paraId="79B74DB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IMOD</w:t>
            </w:r>
          </w:p>
        </w:tc>
        <w:tc>
          <w:tcPr>
            <w:tcW w:w="3690" w:type="dxa"/>
          </w:tcPr>
          <w:p w14:paraId="082D88F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Kremer et al., 1996</w:t>
            </w:r>
          </w:p>
        </w:tc>
        <w:tc>
          <w:tcPr>
            <w:tcW w:w="2146" w:type="dxa"/>
          </w:tcPr>
          <w:p w14:paraId="55EC9F5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043F18FB" w14:textId="77777777" w:rsidTr="00A24696">
        <w:trPr>
          <w:jc w:val="center"/>
        </w:trPr>
        <w:tc>
          <w:tcPr>
            <w:tcW w:w="4590" w:type="dxa"/>
          </w:tcPr>
          <w:p w14:paraId="0B257F86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MemBrainSeg</w:t>
            </w:r>
            <w:proofErr w:type="spellEnd"/>
          </w:p>
        </w:tc>
        <w:tc>
          <w:tcPr>
            <w:tcW w:w="3690" w:type="dxa"/>
          </w:tcPr>
          <w:p w14:paraId="3899FA7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Lamm et al., 2024</w:t>
            </w:r>
          </w:p>
        </w:tc>
        <w:tc>
          <w:tcPr>
            <w:tcW w:w="2146" w:type="dxa"/>
          </w:tcPr>
          <w:p w14:paraId="062994D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623C9EA9" w14:textId="77777777" w:rsidTr="00A24696">
        <w:trPr>
          <w:jc w:val="center"/>
        </w:trPr>
        <w:tc>
          <w:tcPr>
            <w:tcW w:w="4590" w:type="dxa"/>
          </w:tcPr>
          <w:p w14:paraId="03ADFCC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ChimeraX</w:t>
            </w:r>
          </w:p>
        </w:tc>
        <w:tc>
          <w:tcPr>
            <w:tcW w:w="3690" w:type="dxa"/>
          </w:tcPr>
          <w:p w14:paraId="44C601A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Meng et al., 2023</w:t>
            </w:r>
          </w:p>
        </w:tc>
        <w:tc>
          <w:tcPr>
            <w:tcW w:w="2146" w:type="dxa"/>
          </w:tcPr>
          <w:p w14:paraId="7B3959F2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25F2F3B3" w14:textId="77777777" w:rsidTr="00A24696">
        <w:trPr>
          <w:jc w:val="center"/>
        </w:trPr>
        <w:tc>
          <w:tcPr>
            <w:tcW w:w="4590" w:type="dxa"/>
          </w:tcPr>
          <w:p w14:paraId="4A9F9C1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ArtiaX</w:t>
            </w:r>
            <w:proofErr w:type="spellEnd"/>
          </w:p>
        </w:tc>
        <w:tc>
          <w:tcPr>
            <w:tcW w:w="3690" w:type="dxa"/>
          </w:tcPr>
          <w:p w14:paraId="6833673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Ermel et al., 2022</w:t>
            </w:r>
          </w:p>
        </w:tc>
        <w:tc>
          <w:tcPr>
            <w:tcW w:w="2146" w:type="dxa"/>
          </w:tcPr>
          <w:p w14:paraId="170B4216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0AB07A42" w14:textId="77777777" w:rsidTr="00A24696">
        <w:trPr>
          <w:jc w:val="center"/>
        </w:trPr>
        <w:tc>
          <w:tcPr>
            <w:tcW w:w="4590" w:type="dxa"/>
          </w:tcPr>
          <w:p w14:paraId="747BEC39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DYNAMO</w:t>
            </w:r>
          </w:p>
        </w:tc>
        <w:tc>
          <w:tcPr>
            <w:tcW w:w="3690" w:type="dxa"/>
          </w:tcPr>
          <w:p w14:paraId="51222A8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Castano-Diez et al., 2012</w:t>
            </w:r>
          </w:p>
        </w:tc>
        <w:tc>
          <w:tcPr>
            <w:tcW w:w="2146" w:type="dxa"/>
          </w:tcPr>
          <w:p w14:paraId="26C5BB5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3D1DCA76" w14:textId="77777777" w:rsidTr="00A24696">
        <w:trPr>
          <w:jc w:val="center"/>
        </w:trPr>
        <w:tc>
          <w:tcPr>
            <w:tcW w:w="4590" w:type="dxa"/>
          </w:tcPr>
          <w:p w14:paraId="2F4EE94E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RELION</w:t>
            </w:r>
          </w:p>
        </w:tc>
        <w:tc>
          <w:tcPr>
            <w:tcW w:w="3690" w:type="dxa"/>
          </w:tcPr>
          <w:p w14:paraId="0159191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Bharat et al., 2015</w:t>
            </w:r>
          </w:p>
        </w:tc>
        <w:tc>
          <w:tcPr>
            <w:tcW w:w="2146" w:type="dxa"/>
          </w:tcPr>
          <w:p w14:paraId="5223A92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2E9E8BCC" w14:textId="77777777" w:rsidTr="00A24696">
        <w:trPr>
          <w:jc w:val="center"/>
        </w:trPr>
        <w:tc>
          <w:tcPr>
            <w:tcW w:w="10426" w:type="dxa"/>
            <w:gridSpan w:val="3"/>
            <w:shd w:val="clear" w:color="auto" w:fill="EAEDF1"/>
          </w:tcPr>
          <w:p w14:paraId="3AECEF2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Other</w:t>
            </w:r>
          </w:p>
        </w:tc>
      </w:tr>
      <w:tr w:rsidR="00693009" w14:paraId="12A5960E" w14:textId="77777777" w:rsidTr="00A24696">
        <w:trPr>
          <w:jc w:val="center"/>
        </w:trPr>
        <w:tc>
          <w:tcPr>
            <w:tcW w:w="4590" w:type="dxa"/>
          </w:tcPr>
          <w:p w14:paraId="1365DD8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Au </w:t>
            </w:r>
            <w:proofErr w:type="spellStart"/>
            <w:r>
              <w:rPr>
                <w:rFonts w:ascii="Aptos" w:eastAsia="Aptos" w:hAnsi="Aptos" w:cs="Aptos"/>
              </w:rPr>
              <w:t>Quantifoil</w:t>
            </w:r>
            <w:proofErr w:type="spellEnd"/>
            <w:r>
              <w:rPr>
                <w:rFonts w:ascii="Aptos" w:eastAsia="Aptos" w:hAnsi="Aptos" w:cs="Aptos"/>
              </w:rPr>
              <w:t xml:space="preserve"> R1/4 grids 200 mesh</w:t>
            </w:r>
          </w:p>
        </w:tc>
        <w:tc>
          <w:tcPr>
            <w:tcW w:w="3690" w:type="dxa"/>
          </w:tcPr>
          <w:p w14:paraId="45F0B519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proofErr w:type="spellStart"/>
            <w:r>
              <w:rPr>
                <w:rFonts w:ascii="Aptos" w:eastAsia="Aptos" w:hAnsi="Aptos" w:cs="Aptos"/>
              </w:rPr>
              <w:t>Quantifoil</w:t>
            </w:r>
            <w:proofErr w:type="spellEnd"/>
            <w:r>
              <w:rPr>
                <w:rFonts w:ascii="Aptos" w:eastAsia="Aptos" w:hAnsi="Aptos" w:cs="Aptos"/>
              </w:rPr>
              <w:t xml:space="preserve"> Micro tools</w:t>
            </w:r>
          </w:p>
        </w:tc>
        <w:tc>
          <w:tcPr>
            <w:tcW w:w="2146" w:type="dxa"/>
          </w:tcPr>
          <w:p w14:paraId="3E60623D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NA</w:t>
            </w:r>
          </w:p>
        </w:tc>
      </w:tr>
      <w:tr w:rsidR="00693009" w14:paraId="4D5A670D" w14:textId="77777777" w:rsidTr="00A24696">
        <w:trPr>
          <w:jc w:val="center"/>
        </w:trPr>
        <w:tc>
          <w:tcPr>
            <w:tcW w:w="4590" w:type="dxa"/>
          </w:tcPr>
          <w:p w14:paraId="757A4D0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#1 Whatman filter paper</w:t>
            </w:r>
          </w:p>
        </w:tc>
        <w:tc>
          <w:tcPr>
            <w:tcW w:w="3690" w:type="dxa"/>
          </w:tcPr>
          <w:p w14:paraId="6FEA23B7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Whatman</w:t>
            </w:r>
          </w:p>
        </w:tc>
        <w:tc>
          <w:tcPr>
            <w:tcW w:w="2146" w:type="dxa"/>
          </w:tcPr>
          <w:p w14:paraId="04690E6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1001</w:t>
            </w:r>
          </w:p>
        </w:tc>
      </w:tr>
      <w:tr w:rsidR="00693009" w14:paraId="0E071FF6" w14:textId="77777777" w:rsidTr="00A24696">
        <w:trPr>
          <w:jc w:val="center"/>
        </w:trPr>
        <w:tc>
          <w:tcPr>
            <w:tcW w:w="4590" w:type="dxa"/>
          </w:tcPr>
          <w:p w14:paraId="20302B3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Liquid Nitrogen</w:t>
            </w:r>
          </w:p>
        </w:tc>
        <w:tc>
          <w:tcPr>
            <w:tcW w:w="3690" w:type="dxa"/>
          </w:tcPr>
          <w:p w14:paraId="72F61652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Airgas</w:t>
            </w:r>
          </w:p>
        </w:tc>
        <w:tc>
          <w:tcPr>
            <w:tcW w:w="2146" w:type="dxa"/>
          </w:tcPr>
          <w:p w14:paraId="65C33CF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  <w:tr w:rsidR="00693009" w14:paraId="55EFB7E8" w14:textId="77777777" w:rsidTr="00A24696">
        <w:trPr>
          <w:jc w:val="center"/>
        </w:trPr>
        <w:tc>
          <w:tcPr>
            <w:tcW w:w="4590" w:type="dxa"/>
          </w:tcPr>
          <w:p w14:paraId="4261CB6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Ethane-Propane mixture</w:t>
            </w:r>
          </w:p>
        </w:tc>
        <w:tc>
          <w:tcPr>
            <w:tcW w:w="3690" w:type="dxa"/>
          </w:tcPr>
          <w:p w14:paraId="3CC405C1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Airgas</w:t>
            </w:r>
          </w:p>
        </w:tc>
        <w:tc>
          <w:tcPr>
            <w:tcW w:w="2146" w:type="dxa"/>
          </w:tcPr>
          <w:p w14:paraId="471D9BD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</w:t>
            </w:r>
          </w:p>
        </w:tc>
      </w:tr>
    </w:tbl>
    <w:p w14:paraId="686F1958" w14:textId="77777777" w:rsidR="00693009" w:rsidRDefault="00693009" w:rsidP="00693009">
      <w:pPr>
        <w:spacing w:line="360" w:lineRule="auto"/>
        <w:rPr>
          <w:rFonts w:ascii="Aptos" w:eastAsia="Aptos" w:hAnsi="Aptos" w:cs="Aptos"/>
        </w:rPr>
      </w:pPr>
    </w:p>
    <w:p w14:paraId="092C2B8D" w14:textId="77777777" w:rsidR="00693009" w:rsidRDefault="00693009" w:rsidP="00693009">
      <w:pPr>
        <w:spacing w:line="360" w:lineRule="auto"/>
        <w:rPr>
          <w:rFonts w:ascii="Aptos" w:eastAsia="Aptos" w:hAnsi="Aptos" w:cs="Aptos"/>
        </w:rPr>
      </w:pPr>
    </w:p>
    <w:p w14:paraId="7E8F66E2" w14:textId="6B19FA0B" w:rsidR="00693009" w:rsidRPr="004C63D6" w:rsidRDefault="00693009" w:rsidP="00693009">
      <w:pPr>
        <w:pStyle w:val="Heading3"/>
        <w:rPr>
          <w:b/>
          <w:bCs/>
          <w:color w:val="C00000"/>
          <w:sz w:val="24"/>
          <w:szCs w:val="24"/>
        </w:rPr>
      </w:pPr>
      <w:r w:rsidRPr="004C63D6">
        <w:rPr>
          <w:b/>
          <w:bCs/>
          <w:color w:val="C00000"/>
          <w:sz w:val="24"/>
          <w:szCs w:val="24"/>
        </w:rPr>
        <w:t xml:space="preserve">Table </w:t>
      </w:r>
      <w:r w:rsidR="00F83766">
        <w:rPr>
          <w:b/>
          <w:bCs/>
          <w:color w:val="C00000"/>
          <w:sz w:val="24"/>
          <w:szCs w:val="24"/>
        </w:rPr>
        <w:t>B</w:t>
      </w:r>
      <w:r w:rsidRPr="004C63D6">
        <w:rPr>
          <w:b/>
          <w:bCs/>
          <w:color w:val="C00000"/>
          <w:sz w:val="24"/>
          <w:szCs w:val="24"/>
        </w:rPr>
        <w:t xml:space="preserve">. Data acquisition table for cryo-ET datasets used in this study. </w:t>
      </w:r>
    </w:p>
    <w:tbl>
      <w:tblPr>
        <w:tblW w:w="9099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4"/>
        <w:gridCol w:w="2419"/>
        <w:gridCol w:w="2536"/>
      </w:tblGrid>
      <w:tr w:rsidR="00693009" w14:paraId="43B556A1" w14:textId="77777777" w:rsidTr="00A24696">
        <w:trPr>
          <w:jc w:val="center"/>
        </w:trPr>
        <w:tc>
          <w:tcPr>
            <w:tcW w:w="4144" w:type="dxa"/>
            <w:shd w:val="clear" w:color="auto" w:fill="CBD3DE"/>
          </w:tcPr>
          <w:p w14:paraId="5E6AE1D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Parameters</w:t>
            </w:r>
          </w:p>
        </w:tc>
        <w:tc>
          <w:tcPr>
            <w:tcW w:w="2419" w:type="dxa"/>
            <w:shd w:val="clear" w:color="auto" w:fill="CBD3DE"/>
          </w:tcPr>
          <w:p w14:paraId="4565D03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Data # MLi-2</w:t>
            </w:r>
          </w:p>
        </w:tc>
        <w:tc>
          <w:tcPr>
            <w:tcW w:w="2536" w:type="dxa"/>
            <w:shd w:val="clear" w:color="auto" w:fill="CBD3DE"/>
          </w:tcPr>
          <w:p w14:paraId="6DF0A34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Data # GZD-824</w:t>
            </w:r>
          </w:p>
        </w:tc>
      </w:tr>
      <w:tr w:rsidR="00693009" w14:paraId="2E7020EE" w14:textId="77777777" w:rsidTr="00A24696">
        <w:trPr>
          <w:jc w:val="center"/>
        </w:trPr>
        <w:tc>
          <w:tcPr>
            <w:tcW w:w="4144" w:type="dxa"/>
          </w:tcPr>
          <w:p w14:paraId="1EC9250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Magnification</w:t>
            </w:r>
          </w:p>
        </w:tc>
        <w:tc>
          <w:tcPr>
            <w:tcW w:w="2419" w:type="dxa"/>
          </w:tcPr>
          <w:p w14:paraId="259D218E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63,000</w:t>
            </w:r>
          </w:p>
        </w:tc>
        <w:tc>
          <w:tcPr>
            <w:tcW w:w="2536" w:type="dxa"/>
          </w:tcPr>
          <w:p w14:paraId="181D130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63,000</w:t>
            </w:r>
          </w:p>
        </w:tc>
      </w:tr>
      <w:tr w:rsidR="00693009" w14:paraId="71077222" w14:textId="77777777" w:rsidTr="00A24696">
        <w:trPr>
          <w:jc w:val="center"/>
        </w:trPr>
        <w:tc>
          <w:tcPr>
            <w:tcW w:w="4144" w:type="dxa"/>
          </w:tcPr>
          <w:p w14:paraId="1EAC0A14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Voltage (kV)</w:t>
            </w:r>
          </w:p>
        </w:tc>
        <w:tc>
          <w:tcPr>
            <w:tcW w:w="2419" w:type="dxa"/>
          </w:tcPr>
          <w:p w14:paraId="490B5CE9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300 kV</w:t>
            </w:r>
          </w:p>
        </w:tc>
        <w:tc>
          <w:tcPr>
            <w:tcW w:w="2536" w:type="dxa"/>
          </w:tcPr>
          <w:p w14:paraId="53F82099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300 kV</w:t>
            </w:r>
          </w:p>
        </w:tc>
      </w:tr>
      <w:tr w:rsidR="00693009" w14:paraId="479AE987" w14:textId="77777777" w:rsidTr="00A24696">
        <w:trPr>
          <w:jc w:val="center"/>
        </w:trPr>
        <w:tc>
          <w:tcPr>
            <w:tcW w:w="4144" w:type="dxa"/>
          </w:tcPr>
          <w:p w14:paraId="45B2796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Total dose (e</w:t>
            </w:r>
            <w:r>
              <w:rPr>
                <w:rFonts w:ascii="Cambria Math" w:eastAsia="Cambria Math" w:hAnsi="Cambria Math" w:cs="Cambria Math"/>
              </w:rPr>
              <w:t>⁻</w:t>
            </w:r>
            <w:r>
              <w:rPr>
                <w:rFonts w:ascii="Aptos" w:eastAsia="Aptos" w:hAnsi="Aptos" w:cs="Aptos"/>
              </w:rPr>
              <w:t>/Å²)</w:t>
            </w:r>
          </w:p>
        </w:tc>
        <w:tc>
          <w:tcPr>
            <w:tcW w:w="2419" w:type="dxa"/>
          </w:tcPr>
          <w:p w14:paraId="6AE8A31C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~140 e</w:t>
            </w:r>
            <w:r>
              <w:rPr>
                <w:rFonts w:ascii="Cambria Math" w:eastAsia="Cambria Math" w:hAnsi="Cambria Math" w:cs="Cambria Math"/>
              </w:rPr>
              <w:t>⁻</w:t>
            </w:r>
            <w:r>
              <w:rPr>
                <w:rFonts w:ascii="Aptos" w:eastAsia="Aptos" w:hAnsi="Aptos" w:cs="Aptos"/>
              </w:rPr>
              <w:t>/Å²</w:t>
            </w:r>
          </w:p>
        </w:tc>
        <w:tc>
          <w:tcPr>
            <w:tcW w:w="2536" w:type="dxa"/>
          </w:tcPr>
          <w:p w14:paraId="79C64D93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~140 e</w:t>
            </w:r>
            <w:r>
              <w:rPr>
                <w:rFonts w:ascii="Cambria Math" w:eastAsia="Cambria Math" w:hAnsi="Cambria Math" w:cs="Cambria Math"/>
              </w:rPr>
              <w:t>⁻</w:t>
            </w:r>
            <w:r>
              <w:rPr>
                <w:rFonts w:ascii="Aptos" w:eastAsia="Aptos" w:hAnsi="Aptos" w:cs="Aptos"/>
              </w:rPr>
              <w:t>/Å²</w:t>
            </w:r>
          </w:p>
        </w:tc>
      </w:tr>
      <w:tr w:rsidR="00693009" w14:paraId="65C75CCA" w14:textId="77777777" w:rsidTr="00A24696">
        <w:trPr>
          <w:jc w:val="center"/>
        </w:trPr>
        <w:tc>
          <w:tcPr>
            <w:tcW w:w="4144" w:type="dxa"/>
          </w:tcPr>
          <w:p w14:paraId="1CFDB3E4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Defocus range (</w:t>
            </w:r>
            <w:proofErr w:type="spellStart"/>
            <w:r>
              <w:rPr>
                <w:rFonts w:ascii="Aptos" w:eastAsia="Aptos" w:hAnsi="Aptos" w:cs="Aptos"/>
              </w:rPr>
              <w:t>μm</w:t>
            </w:r>
            <w:proofErr w:type="spellEnd"/>
            <w:r>
              <w:rPr>
                <w:rFonts w:ascii="Aptos" w:eastAsia="Aptos" w:hAnsi="Aptos" w:cs="Aptos"/>
              </w:rPr>
              <w:t>)</w:t>
            </w:r>
          </w:p>
        </w:tc>
        <w:tc>
          <w:tcPr>
            <w:tcW w:w="2419" w:type="dxa"/>
          </w:tcPr>
          <w:p w14:paraId="4BEAEF1E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-2 to -5</w:t>
            </w:r>
          </w:p>
        </w:tc>
        <w:tc>
          <w:tcPr>
            <w:tcW w:w="2536" w:type="dxa"/>
          </w:tcPr>
          <w:p w14:paraId="0EE44212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-2 to -5</w:t>
            </w:r>
          </w:p>
        </w:tc>
      </w:tr>
      <w:tr w:rsidR="00693009" w14:paraId="35372119" w14:textId="77777777" w:rsidTr="00A24696">
        <w:trPr>
          <w:jc w:val="center"/>
        </w:trPr>
        <w:tc>
          <w:tcPr>
            <w:tcW w:w="4144" w:type="dxa"/>
          </w:tcPr>
          <w:p w14:paraId="2C3FB0B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Acquisition scheme</w:t>
            </w:r>
          </w:p>
        </w:tc>
        <w:tc>
          <w:tcPr>
            <w:tcW w:w="2419" w:type="dxa"/>
          </w:tcPr>
          <w:p w14:paraId="226A1AB8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Dose symmetric</w:t>
            </w:r>
          </w:p>
        </w:tc>
        <w:tc>
          <w:tcPr>
            <w:tcW w:w="2536" w:type="dxa"/>
          </w:tcPr>
          <w:p w14:paraId="5B8FC2F5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Dose symmetric</w:t>
            </w:r>
          </w:p>
        </w:tc>
      </w:tr>
      <w:tr w:rsidR="00693009" w14:paraId="6F3AEDB5" w14:textId="77777777" w:rsidTr="00A24696">
        <w:trPr>
          <w:jc w:val="center"/>
        </w:trPr>
        <w:tc>
          <w:tcPr>
            <w:tcW w:w="4144" w:type="dxa"/>
          </w:tcPr>
          <w:p w14:paraId="1EFD8BBC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Pixel size (Å)</w:t>
            </w:r>
          </w:p>
        </w:tc>
        <w:tc>
          <w:tcPr>
            <w:tcW w:w="2419" w:type="dxa"/>
          </w:tcPr>
          <w:p w14:paraId="7FE661FE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1.3410 Å</w:t>
            </w:r>
          </w:p>
        </w:tc>
        <w:tc>
          <w:tcPr>
            <w:tcW w:w="2536" w:type="dxa"/>
          </w:tcPr>
          <w:p w14:paraId="444A3E0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1.3410 Å</w:t>
            </w:r>
          </w:p>
        </w:tc>
      </w:tr>
      <w:tr w:rsidR="00693009" w14:paraId="0E4E4798" w14:textId="77777777" w:rsidTr="00A24696">
        <w:trPr>
          <w:jc w:val="center"/>
        </w:trPr>
        <w:tc>
          <w:tcPr>
            <w:tcW w:w="4144" w:type="dxa"/>
          </w:tcPr>
          <w:p w14:paraId="42BE1E0F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No. of frames</w:t>
            </w:r>
          </w:p>
        </w:tc>
        <w:tc>
          <w:tcPr>
            <w:tcW w:w="2419" w:type="dxa"/>
          </w:tcPr>
          <w:p w14:paraId="1293EF1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6</w:t>
            </w:r>
          </w:p>
        </w:tc>
        <w:tc>
          <w:tcPr>
            <w:tcW w:w="2536" w:type="dxa"/>
          </w:tcPr>
          <w:p w14:paraId="5048A77D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6</w:t>
            </w:r>
          </w:p>
        </w:tc>
      </w:tr>
      <w:tr w:rsidR="00693009" w14:paraId="7BA5D4FA" w14:textId="77777777" w:rsidTr="00A24696">
        <w:trPr>
          <w:jc w:val="center"/>
        </w:trPr>
        <w:tc>
          <w:tcPr>
            <w:tcW w:w="4144" w:type="dxa"/>
          </w:tcPr>
          <w:p w14:paraId="6C1D5C3F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# of tomograms</w:t>
            </w:r>
          </w:p>
        </w:tc>
        <w:tc>
          <w:tcPr>
            <w:tcW w:w="2419" w:type="dxa"/>
          </w:tcPr>
          <w:p w14:paraId="3D68C869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26</w:t>
            </w:r>
          </w:p>
        </w:tc>
        <w:tc>
          <w:tcPr>
            <w:tcW w:w="2536" w:type="dxa"/>
          </w:tcPr>
          <w:p w14:paraId="77DD30C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6</w:t>
            </w:r>
          </w:p>
        </w:tc>
      </w:tr>
      <w:tr w:rsidR="00693009" w14:paraId="13F3D1A9" w14:textId="77777777" w:rsidTr="00A24696">
        <w:trPr>
          <w:jc w:val="center"/>
        </w:trPr>
        <w:tc>
          <w:tcPr>
            <w:tcW w:w="4144" w:type="dxa"/>
          </w:tcPr>
          <w:p w14:paraId="23E876F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# of LRRK2</w:t>
            </w:r>
            <w:r>
              <w:rPr>
                <w:rFonts w:ascii="Aptos" w:eastAsia="Aptos" w:hAnsi="Aptos" w:cs="Aptos"/>
                <w:vertAlign w:val="superscript"/>
              </w:rPr>
              <w:t xml:space="preserve">IT </w:t>
            </w:r>
            <w:r>
              <w:rPr>
                <w:rFonts w:ascii="Aptos" w:eastAsia="Aptos" w:hAnsi="Aptos" w:cs="Aptos"/>
              </w:rPr>
              <w:t>decorated microtubules</w:t>
            </w:r>
          </w:p>
        </w:tc>
        <w:tc>
          <w:tcPr>
            <w:tcW w:w="2419" w:type="dxa"/>
          </w:tcPr>
          <w:p w14:paraId="28292DE9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254</w:t>
            </w:r>
          </w:p>
        </w:tc>
        <w:tc>
          <w:tcPr>
            <w:tcW w:w="2536" w:type="dxa"/>
          </w:tcPr>
          <w:p w14:paraId="4ED31C5C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27</w:t>
            </w:r>
          </w:p>
        </w:tc>
      </w:tr>
      <w:tr w:rsidR="00693009" w14:paraId="28BF6535" w14:textId="77777777" w:rsidTr="00A24696">
        <w:trPr>
          <w:jc w:val="center"/>
        </w:trPr>
        <w:tc>
          <w:tcPr>
            <w:tcW w:w="4144" w:type="dxa"/>
          </w:tcPr>
          <w:p w14:paraId="0BBF0AE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Final particle number</w:t>
            </w:r>
          </w:p>
        </w:tc>
        <w:tc>
          <w:tcPr>
            <w:tcW w:w="2419" w:type="dxa"/>
          </w:tcPr>
          <w:p w14:paraId="3B10FBFB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21,116 particles</w:t>
            </w:r>
          </w:p>
        </w:tc>
        <w:tc>
          <w:tcPr>
            <w:tcW w:w="2536" w:type="dxa"/>
          </w:tcPr>
          <w:p w14:paraId="159FA666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6,212 particles</w:t>
            </w:r>
          </w:p>
        </w:tc>
      </w:tr>
      <w:tr w:rsidR="00693009" w14:paraId="68285F17" w14:textId="77777777" w:rsidTr="00A24696">
        <w:trPr>
          <w:jc w:val="center"/>
        </w:trPr>
        <w:tc>
          <w:tcPr>
            <w:tcW w:w="4144" w:type="dxa"/>
          </w:tcPr>
          <w:p w14:paraId="519A670A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Symmetry imposed</w:t>
            </w:r>
          </w:p>
        </w:tc>
        <w:tc>
          <w:tcPr>
            <w:tcW w:w="2419" w:type="dxa"/>
          </w:tcPr>
          <w:p w14:paraId="2B6FBABC" w14:textId="35EDB0BC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</w:t>
            </w:r>
            <w:r w:rsidR="0099576C">
              <w:rPr>
                <w:rFonts w:ascii="Aptos" w:eastAsia="Aptos" w:hAnsi="Aptos" w:cs="Aptos"/>
              </w:rPr>
              <w:t>2</w:t>
            </w:r>
          </w:p>
        </w:tc>
        <w:tc>
          <w:tcPr>
            <w:tcW w:w="2536" w:type="dxa"/>
          </w:tcPr>
          <w:p w14:paraId="785B7870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C1</w:t>
            </w:r>
          </w:p>
        </w:tc>
      </w:tr>
      <w:tr w:rsidR="00693009" w14:paraId="3AFF4430" w14:textId="77777777" w:rsidTr="00A24696">
        <w:trPr>
          <w:jc w:val="center"/>
        </w:trPr>
        <w:tc>
          <w:tcPr>
            <w:tcW w:w="4144" w:type="dxa"/>
          </w:tcPr>
          <w:p w14:paraId="6FD4DFAD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Map resolution (Å)</w:t>
            </w:r>
          </w:p>
        </w:tc>
        <w:tc>
          <w:tcPr>
            <w:tcW w:w="2419" w:type="dxa"/>
          </w:tcPr>
          <w:p w14:paraId="5495E662" w14:textId="77777777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~12 Å</w:t>
            </w:r>
          </w:p>
        </w:tc>
        <w:tc>
          <w:tcPr>
            <w:tcW w:w="2536" w:type="dxa"/>
          </w:tcPr>
          <w:p w14:paraId="15B42515" w14:textId="0B5D1183" w:rsidR="00693009" w:rsidRDefault="00693009" w:rsidP="00A24696">
            <w:pPr>
              <w:spacing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~</w:t>
            </w:r>
            <w:r w:rsidR="00EE1F7A">
              <w:rPr>
                <w:rFonts w:ascii="Aptos" w:eastAsia="Aptos" w:hAnsi="Aptos" w:cs="Aptos"/>
              </w:rPr>
              <w:t>3</w:t>
            </w:r>
            <w:r>
              <w:rPr>
                <w:rFonts w:ascii="Aptos" w:eastAsia="Aptos" w:hAnsi="Aptos" w:cs="Aptos"/>
              </w:rPr>
              <w:t>0 Å</w:t>
            </w:r>
          </w:p>
        </w:tc>
      </w:tr>
    </w:tbl>
    <w:p w14:paraId="6DE7A9B2" w14:textId="77777777" w:rsidR="00693009" w:rsidRDefault="00693009" w:rsidP="00693009">
      <w:pPr>
        <w:spacing w:line="360" w:lineRule="auto"/>
        <w:rPr>
          <w:rFonts w:ascii="Aptos" w:eastAsia="Aptos" w:hAnsi="Aptos" w:cs="Aptos"/>
        </w:rPr>
      </w:pPr>
    </w:p>
    <w:p w14:paraId="6B65FDB5" w14:textId="77777777" w:rsidR="00693009" w:rsidRDefault="00693009" w:rsidP="006930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Courier New" w:hAnsi="Courier New" w:cs="Courier New"/>
          <w:color w:val="666666"/>
          <w:sz w:val="16"/>
          <w:szCs w:val="16"/>
        </w:rPr>
      </w:pPr>
    </w:p>
    <w:p w14:paraId="06067616" w14:textId="77777777" w:rsidR="00693009" w:rsidRPr="00693009" w:rsidRDefault="00693009" w:rsidP="00693009">
      <w:pPr>
        <w:tabs>
          <w:tab w:val="left" w:pos="1412"/>
        </w:tabs>
        <w:jc w:val="center"/>
      </w:pPr>
    </w:p>
    <w:sectPr w:rsidR="00693009" w:rsidRPr="00693009" w:rsidSect="00693009">
      <w:pgSz w:w="12240" w:h="15840"/>
      <w:pgMar w:top="720" w:right="1080" w:bottom="80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 Two Text">
    <w:altName w:val="Calibri"/>
    <w:panose1 w:val="020B0604020202020204"/>
    <w:charset w:val="00"/>
    <w:family w:val="auto"/>
    <w:pitch w:val="variable"/>
    <w:sig w:usb0="A00002FF" w:usb1="0000001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09"/>
    <w:rsid w:val="000352EC"/>
    <w:rsid w:val="000609DD"/>
    <w:rsid w:val="000745FD"/>
    <w:rsid w:val="00077B96"/>
    <w:rsid w:val="000B2DD0"/>
    <w:rsid w:val="00240558"/>
    <w:rsid w:val="002C2CED"/>
    <w:rsid w:val="00425D0E"/>
    <w:rsid w:val="004C63D6"/>
    <w:rsid w:val="005418B1"/>
    <w:rsid w:val="00624536"/>
    <w:rsid w:val="00686A30"/>
    <w:rsid w:val="00693009"/>
    <w:rsid w:val="006F3655"/>
    <w:rsid w:val="007220B2"/>
    <w:rsid w:val="0074625F"/>
    <w:rsid w:val="00792E22"/>
    <w:rsid w:val="007E3CC0"/>
    <w:rsid w:val="008D289E"/>
    <w:rsid w:val="008F679C"/>
    <w:rsid w:val="00900782"/>
    <w:rsid w:val="0099576C"/>
    <w:rsid w:val="00996336"/>
    <w:rsid w:val="009B1E7A"/>
    <w:rsid w:val="00A5693D"/>
    <w:rsid w:val="00A874DE"/>
    <w:rsid w:val="00AB0E22"/>
    <w:rsid w:val="00B66284"/>
    <w:rsid w:val="00C153F6"/>
    <w:rsid w:val="00C233A8"/>
    <w:rsid w:val="00C83B2D"/>
    <w:rsid w:val="00CB114E"/>
    <w:rsid w:val="00CB258C"/>
    <w:rsid w:val="00D606C7"/>
    <w:rsid w:val="00D7341E"/>
    <w:rsid w:val="00E549C2"/>
    <w:rsid w:val="00E955CA"/>
    <w:rsid w:val="00E9730B"/>
    <w:rsid w:val="00EC0D83"/>
    <w:rsid w:val="00EE1F7A"/>
    <w:rsid w:val="00F147C9"/>
    <w:rsid w:val="00F64FDF"/>
    <w:rsid w:val="00F83766"/>
    <w:rsid w:val="00FC1551"/>
    <w:rsid w:val="00F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1392D"/>
  <w15:chartTrackingRefBased/>
  <w15:docId w15:val="{EDFFB732-48BF-A445-BA9E-79E7D833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009"/>
    <w:pPr>
      <w:spacing w:after="0" w:line="240" w:lineRule="auto"/>
      <w:jc w:val="both"/>
    </w:pPr>
    <w:rPr>
      <w:rFonts w:ascii="STIX Two Text" w:eastAsia="STIX Two Text" w:hAnsi="STIX Two Text" w:cs="Arial"/>
      <w:color w:val="000000" w:themeColor="text1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00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00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009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009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009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009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009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009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00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0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0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930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0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0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0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0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0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0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009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3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00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3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0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30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009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30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0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0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00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693009"/>
    <w:pPr>
      <w:jc w:val="lef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styleId="Revision">
    <w:name w:val="Revision"/>
    <w:hidden/>
    <w:uiPriority w:val="99"/>
    <w:semiHidden/>
    <w:rsid w:val="000609DD"/>
    <w:pPr>
      <w:spacing w:after="0" w:line="240" w:lineRule="auto"/>
    </w:pPr>
    <w:rPr>
      <w:rFonts w:ascii="STIX Two Text" w:eastAsia="STIX Two Text" w:hAnsi="STIX Two Text" w:cs="Arial"/>
      <w:color w:val="000000" w:themeColor="text1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0481D0-7A05-1B4D-957A-72331BD1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Villa, Elizabeth</dc:creator>
  <cp:keywords/>
  <dc:description/>
  <cp:lastModifiedBy>Basiashvili, Tamar</cp:lastModifiedBy>
  <cp:revision>2</cp:revision>
  <dcterms:created xsi:type="dcterms:W3CDTF">2026-07-13T18:08:00Z</dcterms:created>
  <dcterms:modified xsi:type="dcterms:W3CDTF">2026-07-13T18:08:00Z</dcterms:modified>
</cp:coreProperties>
</file>