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C6A1111" w:rsidR="00F102CC" w:rsidRPr="003D5AF6" w:rsidRDefault="00F102C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Methods section (DNA preparation, error-prone PCR, tRNA preparation, </w:t>
            </w:r>
            <w:proofErr w:type="spellStart"/>
            <w:r>
              <w:rPr>
                <w:rFonts w:ascii="Noto Sans" w:eastAsia="Noto Sans" w:hAnsi="Noto Sans" w:cs="Noto Sans"/>
                <w:color w:val="434343"/>
                <w:sz w:val="18"/>
                <w:szCs w:val="18"/>
              </w:rPr>
              <w:t>tfPURE</w:t>
            </w:r>
            <w:proofErr w:type="spellEnd"/>
            <w:r>
              <w:rPr>
                <w:rFonts w:ascii="Noto Sans" w:eastAsia="Noto Sans" w:hAnsi="Noto Sans" w:cs="Noto Sans"/>
                <w:color w:val="434343"/>
                <w:sz w:val="18"/>
                <w:szCs w:val="18"/>
              </w:rPr>
              <w:t xml:space="preserve"> preparation, cell-free translation, mutational cost calculation, sequence analysis of random libraries); </w:t>
            </w:r>
            <w:r w:rsidR="003A4F33">
              <w:rPr>
                <w:rFonts w:ascii="Noto Sans" w:hAnsi="Noto Sans" w:cs="Noto Sans" w:hint="eastAsia"/>
                <w:color w:val="434343"/>
                <w:sz w:val="18"/>
                <w:szCs w:val="18"/>
                <w:lang w:eastAsia="ja-JP"/>
              </w:rPr>
              <w:t>Appendix 1-</w:t>
            </w:r>
            <w:r w:rsidR="004C0BB9">
              <w:rPr>
                <w:rFonts w:ascii="Noto Sans" w:hAnsi="Noto Sans" w:cs="Noto Sans" w:hint="eastAsia"/>
                <w:color w:val="434343"/>
                <w:sz w:val="18"/>
                <w:szCs w:val="18"/>
                <w:lang w:eastAsia="ja-JP"/>
              </w:rPr>
              <w:t>t</w:t>
            </w:r>
            <w:r>
              <w:rPr>
                <w:rFonts w:ascii="Noto Sans" w:eastAsia="Noto Sans" w:hAnsi="Noto Sans" w:cs="Noto Sans"/>
                <w:color w:val="434343"/>
                <w:sz w:val="18"/>
                <w:szCs w:val="18"/>
              </w:rPr>
              <w:t xml:space="preserve">ables 1–3, 6–7. Data deposited at </w:t>
            </w:r>
            <w:proofErr w:type="spellStart"/>
            <w:r>
              <w:rPr>
                <w:rFonts w:ascii="Noto Sans" w:eastAsia="Noto Sans" w:hAnsi="Noto Sans" w:cs="Noto Sans"/>
                <w:color w:val="434343"/>
                <w:sz w:val="18"/>
                <w:szCs w:val="18"/>
              </w:rPr>
              <w:t>Zenodo</w:t>
            </w:r>
            <w:proofErr w:type="spellEnd"/>
            <w:r>
              <w:rPr>
                <w:rFonts w:ascii="Noto Sans" w:eastAsia="Noto Sans" w:hAnsi="Noto Sans" w:cs="Noto Sans"/>
                <w:color w:val="434343"/>
                <w:sz w:val="18"/>
                <w:szCs w:val="18"/>
              </w:rPr>
              <w:t>: DOI: 10.5281/zenodo.20364053. See also Miyachi et al. 2025 (Nat Commun; PMID: 40858540) and Miyachi et al. 2022 (ACS Synth Biol; PMID: 35848947).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E86CFC4" w14:textId="77777777" w:rsidR="00F102CC" w:rsidRPr="003D5AF6" w:rsidRDefault="00F102CC">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4DD77CC" w14:textId="5743EB7C" w:rsidR="00F102CC" w:rsidRPr="003D5AF6" w:rsidRDefault="003A4F33">
            <w:pPr>
              <w:rPr>
                <w:rFonts w:ascii="Noto Sans" w:eastAsia="Noto Sans" w:hAnsi="Noto Sans" w:cs="Noto Sans"/>
                <w:color w:val="434343"/>
                <w:sz w:val="18"/>
                <w:szCs w:val="18"/>
              </w:rPr>
            </w:pPr>
            <w:r>
              <w:rPr>
                <w:rFonts w:ascii="Noto Sans" w:hAnsi="Noto Sans" w:cs="Noto Sans" w:hint="eastAsia"/>
                <w:color w:val="434343"/>
                <w:sz w:val="18"/>
                <w:szCs w:val="18"/>
                <w:lang w:eastAsia="ja-JP"/>
              </w:rPr>
              <w:t>Appendix 1-</w:t>
            </w:r>
            <w:r w:rsidR="004C0BB9">
              <w:rPr>
                <w:rFonts w:ascii="Noto Sans" w:hAnsi="Noto Sans" w:cs="Noto Sans" w:hint="eastAsia"/>
                <w:color w:val="434343"/>
                <w:sz w:val="18"/>
                <w:szCs w:val="18"/>
                <w:lang w:eastAsia="ja-JP"/>
              </w:rPr>
              <w:t>t</w:t>
            </w:r>
            <w:r w:rsidR="00F102CC">
              <w:rPr>
                <w:rFonts w:ascii="Noto Sans" w:eastAsia="Noto Sans" w:hAnsi="Noto Sans" w:cs="Noto Sans"/>
                <w:color w:val="434343"/>
                <w:sz w:val="18"/>
                <w:szCs w:val="18"/>
              </w:rPr>
              <w:t xml:space="preserve">ables 1–3 (DNA template sequences in </w:t>
            </w:r>
            <w:r w:rsidR="004C0BB9" w:rsidRPr="004C0BB9">
              <w:rPr>
                <w:rFonts w:ascii="Noto Sans" w:eastAsia="Noto Sans" w:hAnsi="Noto Sans" w:cs="Noto Sans"/>
                <w:color w:val="434343"/>
                <w:sz w:val="18"/>
                <w:szCs w:val="18"/>
              </w:rPr>
              <w:t>Appendix 1-table 1</w:t>
            </w:r>
            <w:r w:rsidR="00F102CC">
              <w:rPr>
                <w:rFonts w:ascii="Noto Sans" w:eastAsia="Noto Sans" w:hAnsi="Noto Sans" w:cs="Noto Sans"/>
                <w:color w:val="434343"/>
                <w:sz w:val="18"/>
                <w:szCs w:val="18"/>
              </w:rPr>
              <w:t xml:space="preserve">; primer sequences in </w:t>
            </w:r>
            <w:r w:rsidR="004C0BB9" w:rsidRPr="004C0BB9">
              <w:rPr>
                <w:rFonts w:ascii="Noto Sans" w:eastAsia="Noto Sans" w:hAnsi="Noto Sans" w:cs="Noto Sans"/>
                <w:color w:val="434343"/>
                <w:sz w:val="18"/>
                <w:szCs w:val="18"/>
              </w:rPr>
              <w:t xml:space="preserve">Appendix 1-table </w:t>
            </w:r>
            <w:r w:rsidR="00F102CC">
              <w:rPr>
                <w:rFonts w:ascii="Noto Sans" w:eastAsia="Noto Sans" w:hAnsi="Noto Sans" w:cs="Noto Sans"/>
                <w:color w:val="434343"/>
                <w:sz w:val="18"/>
                <w:szCs w:val="18"/>
              </w:rPr>
              <w:t xml:space="preserve">2; tRNA sequences in </w:t>
            </w:r>
            <w:r w:rsidR="004C0BB9" w:rsidRPr="004C0BB9">
              <w:rPr>
                <w:rFonts w:ascii="Noto Sans" w:eastAsia="Noto Sans" w:hAnsi="Noto Sans" w:cs="Noto Sans"/>
                <w:color w:val="434343"/>
                <w:sz w:val="18"/>
                <w:szCs w:val="18"/>
              </w:rPr>
              <w:t>Appendix 1-t</w:t>
            </w:r>
            <w:r w:rsidR="00F102CC">
              <w:rPr>
                <w:rFonts w:ascii="Noto Sans" w:eastAsia="Noto Sans" w:hAnsi="Noto Sans" w:cs="Noto Sans"/>
                <w:color w:val="434343"/>
                <w:sz w:val="18"/>
                <w:szCs w:val="18"/>
              </w:rPr>
              <w:t xml:space="preserve">able 3); Methods (DNA preparation, tRNA preparation). Raw sequencing data deposited at </w:t>
            </w:r>
            <w:proofErr w:type="spellStart"/>
            <w:r w:rsidR="00F102CC">
              <w:rPr>
                <w:rFonts w:ascii="Noto Sans" w:eastAsia="Noto Sans" w:hAnsi="Noto Sans" w:cs="Noto Sans"/>
                <w:color w:val="434343"/>
                <w:sz w:val="18"/>
                <w:szCs w:val="18"/>
              </w:rPr>
              <w:t>Zenodo</w:t>
            </w:r>
            <w:proofErr w:type="spellEnd"/>
            <w:r w:rsidR="00F102CC">
              <w:rPr>
                <w:rFonts w:ascii="Noto Sans" w:eastAsia="Noto Sans" w:hAnsi="Noto Sans" w:cs="Noto Sans"/>
                <w:color w:val="434343"/>
                <w:sz w:val="18"/>
                <w:szCs w:val="18"/>
              </w:rPr>
              <w:t xml:space="preserve">: DOI: </w:t>
            </w:r>
            <w:r w:rsidR="00F102CC">
              <w:rPr>
                <w:rFonts w:ascii="Noto Sans" w:eastAsia="Noto Sans" w:hAnsi="Noto Sans" w:cs="Noto Sans"/>
                <w:color w:val="434343"/>
                <w:sz w:val="18"/>
                <w:szCs w:val="18"/>
              </w:rPr>
              <w:lastRenderedPageBreak/>
              <w:t>10.5281/zenodo.20364053.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F49A380" w14:textId="77777777" w:rsidR="00F102CC" w:rsidRPr="003D5AF6" w:rsidRDefault="00F102CC">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7124FE6" w14:textId="77777777" w:rsidR="00F102CC" w:rsidRPr="003D5AF6" w:rsidRDefault="00F102CC">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49001B3" w14:textId="77777777" w:rsidR="00F102CC" w:rsidRPr="003D5AF6" w:rsidRDefault="00F102CC">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39DED05" w14:textId="77777777" w:rsidR="00F102CC" w:rsidRPr="003D5AF6" w:rsidRDefault="00F102CC">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C9AAD1D" w14:textId="77777777" w:rsidR="00F102CC" w:rsidRPr="003D5AF6" w:rsidRDefault="00F102CC">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4EFF245" w14:textId="77777777" w:rsidR="00F102CC" w:rsidRPr="003D5AF6" w:rsidRDefault="00F102CC">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42E3EDF" w14:textId="77777777" w:rsidR="00F102CC" w:rsidRPr="003D5AF6" w:rsidRDefault="00F102CC">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EC9F3" w14:textId="77777777" w:rsidR="00F102CC" w:rsidRPr="003D5AF6" w:rsidRDefault="00F102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706606C" w14:textId="77777777" w:rsidR="00F102CC" w:rsidRPr="003D5AF6" w:rsidRDefault="00F102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Methods section (DNA preparation, error-prone PCR, tRNA preparation, </w:t>
            </w:r>
            <w:proofErr w:type="spellStart"/>
            <w:r>
              <w:rPr>
                <w:rFonts w:ascii="Noto Sans" w:eastAsia="Noto Sans" w:hAnsi="Noto Sans" w:cs="Noto Sans"/>
                <w:color w:val="434343"/>
                <w:sz w:val="18"/>
                <w:szCs w:val="18"/>
              </w:rPr>
              <w:t>tfPURE</w:t>
            </w:r>
            <w:proofErr w:type="spellEnd"/>
            <w:r>
              <w:rPr>
                <w:rFonts w:ascii="Noto Sans" w:eastAsia="Noto Sans" w:hAnsi="Noto Sans" w:cs="Noto Sans"/>
                <w:color w:val="434343"/>
                <w:sz w:val="18"/>
                <w:szCs w:val="18"/>
              </w:rPr>
              <w:t xml:space="preserve"> preparation, cell-free translation, mutational cost calculation, sequence analysis of random libraries). See also Miyachi et al. 2025 (Nat Commun; PMID: 40858540) and Miyachi et al. 2022 (ACS Synth Biol; PMID: 35848947).</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AADCD81" w14:textId="77777777" w:rsidR="00F102CC" w:rsidRPr="003D5AF6" w:rsidRDefault="00F102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 = 3 technical replicates per condition. Sample sizes stated in all figure legends (e.g., “Each dot represents an independent experiment (n = 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8B17F2A" w14:textId="77777777" w:rsidR="00F102CC" w:rsidRPr="003D5AF6" w:rsidRDefault="00F102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n/a (in vitro biochemical study; no </w:t>
            </w:r>
            <w:proofErr w:type="spellStart"/>
            <w:r>
              <w:rPr>
                <w:rFonts w:ascii="Noto Sans" w:eastAsia="Noto Sans" w:hAnsi="Noto Sans" w:cs="Noto Sans"/>
                <w:color w:val="434343"/>
                <w:sz w:val="18"/>
                <w:szCs w:val="18"/>
              </w:rPr>
              <w:t>randomisation</w:t>
            </w:r>
            <w:proofErr w:type="spellEnd"/>
            <w:r>
              <w:rPr>
                <w:rFonts w:ascii="Noto Sans" w:eastAsia="Noto Sans" w:hAnsi="Noto Sans" w:cs="Noto Sans"/>
                <w:color w:val="434343"/>
                <w:sz w:val="18"/>
                <w:szCs w:val="18"/>
              </w:rPr>
              <w:t xml:space="preserve"> of experimental groups required)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C685C07" w14:textId="77777777" w:rsidR="00F102CC" w:rsidRPr="003D5AF6" w:rsidRDefault="00F102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 (in vitro biochemical study)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9F565B" w14:textId="77777777" w:rsidR="00F102CC" w:rsidRPr="003D5AF6" w:rsidRDefault="00F102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 all data generated were included in the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DC0A46B" w14:textId="77777777" w:rsidR="00F102CC" w:rsidRPr="003D5AF6" w:rsidRDefault="00F102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Figure legends; Methods. All translation reactions were performed as n = 3 technical replicates. Bars indicate mean values and error bars represent standard deviations (Fig. 1D, Fig. </w:t>
            </w:r>
            <w:r>
              <w:rPr>
                <w:rFonts w:ascii="Noto Sans" w:eastAsia="Noto Sans" w:hAnsi="Noto Sans" w:cs="Noto Sans"/>
                <w:color w:val="434343"/>
                <w:sz w:val="18"/>
                <w:szCs w:val="18"/>
              </w:rPr>
              <w:lastRenderedPageBreak/>
              <w:t>2B, Fig. 4B–D, Fig. 5B–G).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2708207" w14:textId="77777777" w:rsidR="00F102CC" w:rsidRPr="003D5AF6" w:rsidRDefault="00F102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Technical replicates (independent cell-free translation reactions from the same DNA library under identical conditions). Stated in figure legends (e.g., “Each dot represents three technical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1390243" w14:textId="77777777" w:rsidR="00F102CC" w:rsidRPr="003D5AF6" w:rsidRDefault="00F102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3189544" w14:textId="77777777" w:rsidR="00F102CC" w:rsidRPr="003D5AF6" w:rsidRDefault="00F102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1230BC6" w14:textId="77777777" w:rsidR="00F102CC" w:rsidRPr="003D5AF6" w:rsidRDefault="00F102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8877C01" w14:textId="77777777" w:rsidR="00F102CC" w:rsidRPr="003D5AF6" w:rsidRDefault="00F102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0ACFA5E" w14:textId="77777777" w:rsidR="00F102CC" w:rsidRPr="003D5AF6" w:rsidRDefault="00F102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No pre-established exclusion criteria. All data generated are included in the figures and Supplementary Materials. No data points were omitted. Results from all 10 non-SGCs and near-SGC for all three reporter genes (GAL, Luc, </w:t>
            </w:r>
            <w:proofErr w:type="spellStart"/>
            <w:r>
              <w:rPr>
                <w:rFonts w:ascii="Noto Sans" w:eastAsia="Noto Sans" w:hAnsi="Noto Sans" w:cs="Noto Sans"/>
                <w:color w:val="434343"/>
                <w:sz w:val="18"/>
                <w:szCs w:val="18"/>
              </w:rPr>
              <w:t>mSG</w:t>
            </w:r>
            <w:proofErr w:type="spellEnd"/>
            <w:r>
              <w:rPr>
                <w:rFonts w:ascii="Noto Sans" w:eastAsia="Noto Sans" w:hAnsi="Noto Sans" w:cs="Noto Sans"/>
                <w:color w:val="434343"/>
                <w:sz w:val="18"/>
                <w:szCs w:val="18"/>
              </w:rPr>
              <w:t>) are presented in Fig. 5 and Figure 5–figure supplement 2, 3, and 4.</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70DD758" w14:textId="2146E688" w:rsidR="00F102CC" w:rsidRPr="003D5AF6" w:rsidRDefault="00F102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Methods (Sequence analysis of random libraries); Figure legends; </w:t>
            </w:r>
            <w:r w:rsidR="004C0BB9" w:rsidRPr="004C0BB9">
              <w:rPr>
                <w:rFonts w:ascii="Noto Sans" w:eastAsia="Noto Sans" w:hAnsi="Noto Sans" w:cs="Noto Sans"/>
                <w:color w:val="434343"/>
                <w:sz w:val="18"/>
                <w:szCs w:val="18"/>
              </w:rPr>
              <w:t xml:space="preserve">Appendix 1-table </w:t>
            </w:r>
            <w:r>
              <w:rPr>
                <w:rFonts w:ascii="Noto Sans" w:eastAsia="Noto Sans" w:hAnsi="Noto Sans" w:cs="Noto Sans"/>
                <w:color w:val="434343"/>
                <w:sz w:val="18"/>
                <w:szCs w:val="18"/>
              </w:rPr>
              <w:t xml:space="preserve">8–10. Tests: one-way ANOVA + Tukey post hoc (Fig. 1D; </w:t>
            </w:r>
            <w:r w:rsidR="003A4F33">
              <w:rPr>
                <w:rFonts w:ascii="Noto Sans" w:hAnsi="Noto Sans" w:cs="Noto Sans" w:hint="eastAsia"/>
                <w:color w:val="434343"/>
                <w:sz w:val="18"/>
                <w:szCs w:val="18"/>
                <w:lang w:eastAsia="ja-JP"/>
              </w:rPr>
              <w:t>Appendix 1-</w:t>
            </w:r>
            <w:r w:rsidR="004C0BB9">
              <w:rPr>
                <w:rFonts w:ascii="Noto Sans" w:hAnsi="Noto Sans" w:cs="Noto Sans" w:hint="eastAsia"/>
                <w:color w:val="434343"/>
                <w:sz w:val="18"/>
                <w:szCs w:val="18"/>
                <w:lang w:eastAsia="ja-JP"/>
              </w:rPr>
              <w:t>t</w:t>
            </w:r>
            <w:r>
              <w:rPr>
                <w:rFonts w:ascii="Noto Sans" w:eastAsia="Noto Sans" w:hAnsi="Noto Sans" w:cs="Noto Sans"/>
                <w:color w:val="434343"/>
                <w:sz w:val="18"/>
                <w:szCs w:val="18"/>
              </w:rPr>
              <w:t xml:space="preserve">able 8); Welch's t-test (Fig. 2B; </w:t>
            </w:r>
            <w:r w:rsidR="003A4F33">
              <w:rPr>
                <w:rFonts w:ascii="Noto Sans" w:hAnsi="Noto Sans" w:cs="Noto Sans" w:hint="eastAsia"/>
                <w:color w:val="434343"/>
                <w:sz w:val="18"/>
                <w:szCs w:val="18"/>
                <w:lang w:eastAsia="ja-JP"/>
              </w:rPr>
              <w:t>Appendix 1-</w:t>
            </w:r>
            <w:r w:rsidR="004C0BB9">
              <w:rPr>
                <w:rFonts w:ascii="Noto Sans" w:hAnsi="Noto Sans" w:cs="Noto Sans" w:hint="eastAsia"/>
                <w:color w:val="434343"/>
                <w:sz w:val="18"/>
                <w:szCs w:val="18"/>
                <w:lang w:eastAsia="ja-JP"/>
              </w:rPr>
              <w:t>t</w:t>
            </w:r>
            <w:r>
              <w:rPr>
                <w:rFonts w:ascii="Noto Sans" w:eastAsia="Noto Sans" w:hAnsi="Noto Sans" w:cs="Noto Sans"/>
                <w:color w:val="434343"/>
                <w:sz w:val="18"/>
                <w:szCs w:val="18"/>
              </w:rPr>
              <w:t xml:space="preserve">able 9); two-way ANOVA (Fig. 5B); Spearman's rank correlation (Figs. 4B–D, 5C/E/G; </w:t>
            </w:r>
            <w:r w:rsidR="003A4F33">
              <w:rPr>
                <w:rFonts w:ascii="Noto Sans" w:hAnsi="Noto Sans" w:cs="Noto Sans" w:hint="eastAsia"/>
                <w:color w:val="434343"/>
                <w:sz w:val="18"/>
                <w:szCs w:val="18"/>
                <w:lang w:eastAsia="ja-JP"/>
              </w:rPr>
              <w:t>Appendix 1-</w:t>
            </w:r>
            <w:r w:rsidR="004C0BB9">
              <w:rPr>
                <w:rFonts w:ascii="Noto Sans" w:hAnsi="Noto Sans" w:cs="Noto Sans" w:hint="eastAsia"/>
                <w:color w:val="434343"/>
                <w:sz w:val="18"/>
                <w:szCs w:val="18"/>
                <w:lang w:eastAsia="ja-JP"/>
              </w:rPr>
              <w:t>t</w:t>
            </w:r>
            <w:r>
              <w:rPr>
                <w:rFonts w:ascii="Noto Sans" w:eastAsia="Noto Sans" w:hAnsi="Noto Sans" w:cs="Noto Sans"/>
                <w:color w:val="434343"/>
                <w:sz w:val="18"/>
                <w:szCs w:val="18"/>
              </w:rPr>
              <w:t>able 10).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90B13BA" w14:textId="6190BACA" w:rsidR="00F102CC" w:rsidRPr="003D5AF6" w:rsidRDefault="00F102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Data availability statement; Methods. Source data and raw sequencing data deposited at </w:t>
            </w:r>
            <w:proofErr w:type="spellStart"/>
            <w:r>
              <w:rPr>
                <w:rFonts w:ascii="Noto Sans" w:eastAsia="Noto Sans" w:hAnsi="Noto Sans" w:cs="Noto Sans"/>
                <w:color w:val="434343"/>
                <w:sz w:val="18"/>
                <w:szCs w:val="18"/>
              </w:rPr>
              <w:t>Zenodo</w:t>
            </w:r>
            <w:proofErr w:type="spellEnd"/>
            <w:r>
              <w:rPr>
                <w:rFonts w:ascii="Noto Sans" w:eastAsia="Noto Sans" w:hAnsi="Noto Sans" w:cs="Noto Sans"/>
                <w:color w:val="434343"/>
                <w:sz w:val="18"/>
                <w:szCs w:val="18"/>
              </w:rPr>
              <w:t xml:space="preserve">: DOI: 10.5281/zenodo.20364053. All supplementary data in </w:t>
            </w:r>
            <w:r w:rsidR="003A4F33">
              <w:rPr>
                <w:rFonts w:ascii="Noto Sans" w:hAnsi="Noto Sans" w:cs="Noto Sans" w:hint="eastAsia"/>
                <w:color w:val="434343"/>
                <w:sz w:val="18"/>
                <w:szCs w:val="18"/>
                <w:lang w:eastAsia="ja-JP"/>
              </w:rPr>
              <w:t>Appendix 1-</w:t>
            </w:r>
            <w:r w:rsidR="004C0BB9">
              <w:rPr>
                <w:rFonts w:ascii="Noto Sans" w:hAnsi="Noto Sans" w:cs="Noto Sans" w:hint="eastAsia"/>
                <w:color w:val="434343"/>
                <w:sz w:val="18"/>
                <w:szCs w:val="18"/>
                <w:lang w:eastAsia="ja-JP"/>
              </w:rPr>
              <w:t>t</w:t>
            </w:r>
            <w:r>
              <w:rPr>
                <w:rFonts w:ascii="Noto Sans" w:eastAsia="Noto Sans" w:hAnsi="Noto Sans" w:cs="Noto Sans"/>
                <w:color w:val="434343"/>
                <w:sz w:val="18"/>
                <w:szCs w:val="18"/>
              </w:rPr>
              <w:t>ables 1–10 and Figure supplements.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900885C" w14:textId="77777777" w:rsidR="00F102CC" w:rsidRPr="003D5AF6" w:rsidRDefault="00F102CC">
            <w:pPr>
              <w:spacing w:line="225" w:lineRule="auto"/>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Zenodo</w:t>
            </w:r>
            <w:proofErr w:type="spellEnd"/>
            <w:r>
              <w:rPr>
                <w:rFonts w:ascii="Noto Sans" w:eastAsia="Noto Sans" w:hAnsi="Noto Sans" w:cs="Noto Sans"/>
                <w:color w:val="434343"/>
                <w:sz w:val="18"/>
                <w:szCs w:val="18"/>
              </w:rPr>
              <w:t>: DOI: 10.5281/zenodo.20364053</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47BF755" w14:textId="77777777" w:rsidR="00F102CC" w:rsidRPr="003D5AF6" w:rsidRDefault="00F102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 (no reused publicly available datasets)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49BAB3D" w14:textId="77777777" w:rsidR="00F102CC" w:rsidRDefault="00F102CC">
            <w:pPr>
              <w:spacing w:line="225" w:lineRule="auto"/>
              <w:rPr>
                <w:rFonts w:ascii="Noto Sans" w:hAnsi="Noto Sans" w:cs="Noto Sans"/>
                <w:color w:val="434343"/>
                <w:sz w:val="18"/>
                <w:szCs w:val="18"/>
                <w:lang w:eastAsia="ja-JP"/>
              </w:rPr>
            </w:pPr>
            <w:r>
              <w:rPr>
                <w:rFonts w:ascii="Noto Sans" w:eastAsia="Noto Sans" w:hAnsi="Noto Sans" w:cs="Noto Sans"/>
                <w:color w:val="434343"/>
                <w:sz w:val="18"/>
                <w:szCs w:val="18"/>
              </w:rPr>
              <w:t xml:space="preserve">Methods (Calculation of mutational cost; Sequence analysis of random libraries). Custom scripts and amplicon sequencing pipeline deposited at </w:t>
            </w:r>
            <w:proofErr w:type="spellStart"/>
            <w:r>
              <w:rPr>
                <w:rFonts w:ascii="Noto Sans" w:eastAsia="Noto Sans" w:hAnsi="Noto Sans" w:cs="Noto Sans"/>
                <w:color w:val="434343"/>
                <w:sz w:val="18"/>
                <w:szCs w:val="18"/>
              </w:rPr>
              <w:t>Zenodo</w:t>
            </w:r>
            <w:proofErr w:type="spellEnd"/>
            <w:r>
              <w:rPr>
                <w:rFonts w:ascii="Noto Sans" w:eastAsia="Noto Sans" w:hAnsi="Noto Sans" w:cs="Noto Sans"/>
                <w:color w:val="434343"/>
                <w:sz w:val="18"/>
                <w:szCs w:val="18"/>
              </w:rPr>
              <w:t xml:space="preserve">: DOI: 10.5281/zenodo.20364053. Third-party: BWA-MEM (RRID:SCR_010910), </w:t>
            </w:r>
            <w:proofErr w:type="spellStart"/>
            <w:r>
              <w:rPr>
                <w:rFonts w:ascii="Noto Sans" w:eastAsia="Noto Sans" w:hAnsi="Noto Sans" w:cs="Noto Sans"/>
                <w:color w:val="434343"/>
                <w:sz w:val="18"/>
                <w:szCs w:val="18"/>
              </w:rPr>
              <w:t>SAMtools</w:t>
            </w:r>
            <w:proofErr w:type="spellEnd"/>
            <w:r>
              <w:rPr>
                <w:rFonts w:ascii="Noto Sans" w:eastAsia="Noto Sans" w:hAnsi="Noto Sans" w:cs="Noto Sans"/>
                <w:color w:val="434343"/>
                <w:sz w:val="18"/>
                <w:szCs w:val="18"/>
              </w:rPr>
              <w:t xml:space="preserve"> (RRID:SCR_002105), </w:t>
            </w:r>
            <w:proofErr w:type="spellStart"/>
            <w:r>
              <w:rPr>
                <w:rFonts w:ascii="Noto Sans" w:eastAsia="Noto Sans" w:hAnsi="Noto Sans" w:cs="Noto Sans"/>
                <w:color w:val="434343"/>
                <w:sz w:val="18"/>
                <w:szCs w:val="18"/>
              </w:rPr>
              <w:t>cutadapt</w:t>
            </w:r>
            <w:proofErr w:type="spellEnd"/>
            <w:r>
              <w:rPr>
                <w:rFonts w:ascii="Noto Sans" w:eastAsia="Noto Sans" w:hAnsi="Noto Sans" w:cs="Noto Sans"/>
                <w:color w:val="434343"/>
                <w:sz w:val="18"/>
                <w:szCs w:val="18"/>
              </w:rPr>
              <w:t xml:space="preserve"> (RRID:SCR_011841).</w:t>
            </w:r>
          </w:p>
          <w:p w14:paraId="72CC3D69" w14:textId="7D941AF0" w:rsidR="003A4F33" w:rsidRPr="003A4F33" w:rsidRDefault="003A4F33">
            <w:pPr>
              <w:spacing w:line="225" w:lineRule="auto"/>
              <w:rPr>
                <w:rFonts w:ascii="Noto Sans" w:hAnsi="Noto Sans" w:cs="Noto Sans"/>
                <w:color w:val="434343"/>
                <w:sz w:val="18"/>
                <w:szCs w:val="18"/>
                <w:lang w:eastAsia="ja-JP"/>
              </w:rPr>
            </w:pPr>
            <w:r>
              <w:rPr>
                <w:rFonts w:ascii="Noto Sans" w:hAnsi="Noto Sans" w:cs="Noto Sans" w:hint="eastAsia"/>
                <w:color w:val="434343"/>
                <w:sz w:val="18"/>
                <w:szCs w:val="18"/>
                <w:lang w:eastAsia="ja-JP"/>
              </w:rPr>
              <w:t xml:space="preserve">Original code </w:t>
            </w:r>
            <w:r w:rsidRPr="003A4F33">
              <w:rPr>
                <w:rFonts w:ascii="Noto Sans" w:hAnsi="Noto Sans" w:cs="Noto Sans"/>
                <w:color w:val="434343"/>
                <w:sz w:val="18"/>
                <w:szCs w:val="18"/>
                <w:lang w:eastAsia="ja-JP"/>
              </w:rPr>
              <w:t xml:space="preserve">to calculate </w:t>
            </w:r>
            <w:proofErr w:type="spellStart"/>
            <w:r w:rsidRPr="003A4F33">
              <w:rPr>
                <w:rFonts w:ascii="Noto Sans" w:hAnsi="Noto Sans" w:cs="Noto Sans"/>
                <w:color w:val="434343"/>
                <w:sz w:val="18"/>
                <w:szCs w:val="18"/>
                <w:lang w:eastAsia="ja-JP"/>
              </w:rPr>
              <w:t>CostPR</w:t>
            </w:r>
            <w:proofErr w:type="spellEnd"/>
            <w:r w:rsidRPr="003A4F33">
              <w:rPr>
                <w:rFonts w:ascii="Noto Sans" w:hAnsi="Noto Sans" w:cs="Noto Sans"/>
                <w:color w:val="434343"/>
                <w:sz w:val="18"/>
                <w:szCs w:val="18"/>
                <w:lang w:eastAsia="ja-JP"/>
              </w:rPr>
              <w:t xml:space="preserve">, </w:t>
            </w:r>
            <w:proofErr w:type="spellStart"/>
            <w:r w:rsidRPr="003A4F33">
              <w:rPr>
                <w:rFonts w:ascii="Noto Sans" w:hAnsi="Noto Sans" w:cs="Noto Sans"/>
                <w:color w:val="434343"/>
                <w:sz w:val="18"/>
                <w:szCs w:val="18"/>
                <w:lang w:eastAsia="ja-JP"/>
              </w:rPr>
              <w:t>CostMV</w:t>
            </w:r>
            <w:proofErr w:type="spellEnd"/>
            <w:r w:rsidRPr="003A4F33">
              <w:rPr>
                <w:rFonts w:ascii="Noto Sans" w:hAnsi="Noto Sans" w:cs="Noto Sans"/>
                <w:color w:val="434343"/>
                <w:sz w:val="18"/>
                <w:szCs w:val="18"/>
                <w:lang w:eastAsia="ja-JP"/>
              </w:rPr>
              <w:t xml:space="preserve">, and </w:t>
            </w:r>
            <w:proofErr w:type="spellStart"/>
            <w:r w:rsidRPr="003A4F33">
              <w:rPr>
                <w:rFonts w:ascii="Noto Sans" w:hAnsi="Noto Sans" w:cs="Noto Sans"/>
                <w:color w:val="434343"/>
                <w:sz w:val="18"/>
                <w:szCs w:val="18"/>
                <w:lang w:eastAsia="ja-JP"/>
              </w:rPr>
              <w:t>CostHI</w:t>
            </w:r>
            <w:proofErr w:type="spellEnd"/>
            <w:r>
              <w:rPr>
                <w:rFonts w:ascii="Noto Sans" w:hAnsi="Noto Sans" w:cs="Noto Sans" w:hint="eastAsia"/>
                <w:color w:val="434343"/>
                <w:sz w:val="18"/>
                <w:szCs w:val="18"/>
                <w:lang w:eastAsia="ja-JP"/>
              </w:rPr>
              <w:t xml:space="preserve"> is available in Source code file.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w:t>
            </w:r>
            <w:proofErr w:type="gramStart"/>
            <w:r>
              <w:rPr>
                <w:rFonts w:ascii="Noto Sans" w:eastAsia="Noto Sans" w:hAnsi="Noto Sans" w:cs="Noto Sans"/>
                <w:color w:val="434343"/>
                <w:sz w:val="18"/>
                <w:szCs w:val="18"/>
              </w:rPr>
              <w:t>number</w:t>
            </w:r>
            <w:proofErr w:type="gramEnd"/>
            <w:r>
              <w:rPr>
                <w:rFonts w:ascii="Noto Sans" w:eastAsia="Noto Sans" w:hAnsi="Noto Sans" w:cs="Noto Sans"/>
                <w:color w:val="434343"/>
                <w:sz w:val="18"/>
                <w:szCs w:val="18"/>
              </w:rPr>
              <w:t xml:space="preserve">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05CD491" w14:textId="0054C770" w:rsidR="00F102CC" w:rsidRPr="003A4F33" w:rsidRDefault="003A4F33">
            <w:pPr>
              <w:spacing w:line="225" w:lineRule="auto"/>
              <w:rPr>
                <w:rFonts w:ascii="Noto Sans" w:hAnsi="Noto Sans" w:cs="Noto Sans"/>
                <w:color w:val="434343"/>
                <w:sz w:val="18"/>
                <w:szCs w:val="18"/>
                <w:lang w:eastAsia="ja-JP"/>
              </w:rPr>
            </w:pPr>
            <w:r>
              <w:rPr>
                <w:rFonts w:ascii="Noto Sans" w:hAnsi="Noto Sans" w:cs="Noto Sans" w:hint="eastAsia"/>
                <w:color w:val="434343"/>
                <w:sz w:val="18"/>
                <w:szCs w:val="18"/>
                <w:lang w:eastAsia="ja-JP"/>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453760D" w14:textId="77777777" w:rsidR="00F102CC" w:rsidRPr="003D5AF6" w:rsidRDefault="00F102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Third-party tools: BWA-MEM (RRID:SCR_010910), </w:t>
            </w:r>
            <w:proofErr w:type="spellStart"/>
            <w:r>
              <w:rPr>
                <w:rFonts w:ascii="Noto Sans" w:eastAsia="Noto Sans" w:hAnsi="Noto Sans" w:cs="Noto Sans"/>
                <w:color w:val="434343"/>
                <w:sz w:val="18"/>
                <w:szCs w:val="18"/>
              </w:rPr>
              <w:t>SAMtools</w:t>
            </w:r>
            <w:proofErr w:type="spellEnd"/>
            <w:r>
              <w:rPr>
                <w:rFonts w:ascii="Noto Sans" w:eastAsia="Noto Sans" w:hAnsi="Noto Sans" w:cs="Noto Sans"/>
                <w:color w:val="434343"/>
                <w:sz w:val="18"/>
                <w:szCs w:val="18"/>
              </w:rPr>
              <w:t xml:space="preserve"> (RRID:SCR_002105), </w:t>
            </w:r>
            <w:proofErr w:type="spellStart"/>
            <w:r>
              <w:rPr>
                <w:rFonts w:ascii="Noto Sans" w:eastAsia="Noto Sans" w:hAnsi="Noto Sans" w:cs="Noto Sans"/>
                <w:color w:val="434343"/>
                <w:sz w:val="18"/>
                <w:szCs w:val="18"/>
              </w:rPr>
              <w:t>cutadapt</w:t>
            </w:r>
            <w:proofErr w:type="spellEnd"/>
            <w:r>
              <w:rPr>
                <w:rFonts w:ascii="Noto Sans" w:eastAsia="Noto Sans" w:hAnsi="Noto Sans" w:cs="Noto Sans"/>
                <w:color w:val="434343"/>
                <w:sz w:val="18"/>
                <w:szCs w:val="18"/>
              </w:rPr>
              <w:t xml:space="preserve"> (RRID:SCR_011841).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30E48D1E" w14:textId="77777777" w:rsidR="00F102CC" w:rsidRPr="003D5AF6" w:rsidRDefault="00F102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 (no specific discipline-wide checklist required for in vitro biochemical/synthetic biology study; ARRIVE, CONSORT, and PRISMA not applicable)</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w:t>
      </w:r>
      <w:r>
        <w:lastRenderedPageBreak/>
        <w:t>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79BB" w14:textId="77777777" w:rsidR="009E217E" w:rsidRDefault="009E217E">
      <w:r>
        <w:separator/>
      </w:r>
    </w:p>
  </w:endnote>
  <w:endnote w:type="continuationSeparator" w:id="0">
    <w:p w14:paraId="1F683F47" w14:textId="77777777" w:rsidR="009E217E" w:rsidRDefault="009E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B9539" w14:textId="77777777" w:rsidR="009E217E" w:rsidRDefault="009E217E">
      <w:r>
        <w:separator/>
      </w:r>
    </w:p>
  </w:footnote>
  <w:footnote w:type="continuationSeparator" w:id="0">
    <w:p w14:paraId="4D94706A" w14:textId="77777777" w:rsidR="009E217E" w:rsidRDefault="009E2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  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  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A4F33"/>
    <w:rsid w:val="003D5AF6"/>
    <w:rsid w:val="00400C53"/>
    <w:rsid w:val="00427975"/>
    <w:rsid w:val="004C0BB9"/>
    <w:rsid w:val="004E2C31"/>
    <w:rsid w:val="005B0259"/>
    <w:rsid w:val="007054B6"/>
    <w:rsid w:val="0078687E"/>
    <w:rsid w:val="008B38FA"/>
    <w:rsid w:val="009C2311"/>
    <w:rsid w:val="009C7B26"/>
    <w:rsid w:val="009E217E"/>
    <w:rsid w:val="00A11E52"/>
    <w:rsid w:val="00B2483D"/>
    <w:rsid w:val="00BD41E9"/>
    <w:rsid w:val="00C84413"/>
    <w:rsid w:val="00F102CC"/>
    <w:rsid w:val="00F42577"/>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市橋伯一</dc:creator>
  <cp:lastModifiedBy>市橋　伯一</cp:lastModifiedBy>
  <cp:revision>2</cp:revision>
  <dcterms:created xsi:type="dcterms:W3CDTF">2026-06-11T12:58:00Z</dcterms:created>
  <dcterms:modified xsi:type="dcterms:W3CDTF">2026-06-11T12:58:00Z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a6f78d99-6810-451d-9092-f65ccb5060ad</vt:lpwstr>
  </property>
</Properties>
</file>