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14B89" w14:textId="77777777" w:rsidR="006A6BEF" w:rsidRDefault="006A6BEF">
      <w:pPr>
        <w:spacing w:before="60" w:line="227" w:lineRule="auto"/>
        <w:jc w:val="center"/>
        <w:rPr>
          <w:rFonts w:ascii="Noto Sans" w:eastAsia="Noto Sans" w:hAnsi="Noto Sans" w:cs="Noto Sans"/>
          <w:b/>
          <w:bCs/>
          <w:sz w:val="26"/>
          <w:szCs w:val="26"/>
          <w:u w:val="single"/>
        </w:rPr>
      </w:pPr>
    </w:p>
    <w:p w14:paraId="667BA434" w14:textId="77777777" w:rsidR="006A6BEF" w:rsidRDefault="00000000">
      <w:pPr>
        <w:spacing w:before="60" w:line="227" w:lineRule="auto"/>
        <w:jc w:val="center"/>
        <w:rPr>
          <w:rFonts w:ascii="Noto Sans" w:eastAsia="Noto Sans" w:hAnsi="Noto Sans" w:cs="Noto Sans"/>
          <w:b/>
          <w:bCs/>
          <w:sz w:val="26"/>
          <w:szCs w:val="26"/>
        </w:rPr>
      </w:pPr>
      <w:r>
        <w:rPr>
          <w:rFonts w:ascii="Noto Sans" w:eastAsia="Noto Sans" w:hAnsi="Noto Sans" w:cs="Noto Sans"/>
          <w:b/>
          <w:bCs/>
          <w:sz w:val="26"/>
          <w:szCs w:val="26"/>
          <w:u w:val="single"/>
        </w:rPr>
        <w:t>M</w:t>
      </w:r>
      <w:r>
        <w:rPr>
          <w:rFonts w:ascii="Noto Sans" w:eastAsia="Noto Sans" w:hAnsi="Noto Sans" w:cs="Noto Sans"/>
          <w:b/>
          <w:bCs/>
          <w:sz w:val="26"/>
          <w:szCs w:val="26"/>
        </w:rPr>
        <w:t xml:space="preserve">aterials </w:t>
      </w:r>
      <w:r>
        <w:rPr>
          <w:rFonts w:ascii="Noto Sans" w:eastAsia="Noto Sans" w:hAnsi="Noto Sans" w:cs="Noto Sans"/>
          <w:b/>
          <w:bCs/>
          <w:sz w:val="26"/>
          <w:szCs w:val="26"/>
          <w:u w:val="single"/>
        </w:rPr>
        <w:t>D</w:t>
      </w:r>
      <w:r>
        <w:rPr>
          <w:rFonts w:ascii="Noto Sans" w:eastAsia="Noto Sans" w:hAnsi="Noto Sans" w:cs="Noto Sans"/>
          <w:b/>
          <w:bCs/>
          <w:sz w:val="26"/>
          <w:szCs w:val="26"/>
        </w:rPr>
        <w:t xml:space="preserve">esign </w:t>
      </w:r>
      <w:r>
        <w:rPr>
          <w:rFonts w:ascii="Noto Sans" w:eastAsia="Noto Sans" w:hAnsi="Noto Sans" w:cs="Noto Sans"/>
          <w:b/>
          <w:bCs/>
          <w:sz w:val="26"/>
          <w:szCs w:val="26"/>
          <w:u w:val="single"/>
        </w:rPr>
        <w:t>A</w:t>
      </w:r>
      <w:r>
        <w:rPr>
          <w:rFonts w:ascii="Noto Sans" w:eastAsia="Noto Sans" w:hAnsi="Noto Sans" w:cs="Noto Sans"/>
          <w:b/>
          <w:bCs/>
          <w:sz w:val="26"/>
          <w:szCs w:val="26"/>
        </w:rPr>
        <w:t xml:space="preserve">nalysis </w:t>
      </w:r>
      <w:r>
        <w:rPr>
          <w:rFonts w:ascii="Noto Sans" w:eastAsia="Noto Sans" w:hAnsi="Noto Sans" w:cs="Noto Sans"/>
          <w:b/>
          <w:bCs/>
          <w:sz w:val="26"/>
          <w:szCs w:val="26"/>
          <w:u w:val="single"/>
        </w:rPr>
        <w:t>R</w:t>
      </w:r>
      <w:r>
        <w:rPr>
          <w:rFonts w:ascii="Noto Sans" w:eastAsia="Noto Sans" w:hAnsi="Noto Sans" w:cs="Noto Sans"/>
          <w:b/>
          <w:bCs/>
          <w:sz w:val="26"/>
          <w:szCs w:val="26"/>
        </w:rPr>
        <w:t>eporting (MDAR)</w:t>
      </w:r>
    </w:p>
    <w:p w14:paraId="30574C23" w14:textId="77777777" w:rsidR="006A6BEF" w:rsidRDefault="00000000">
      <w:pPr>
        <w:spacing w:before="60" w:line="227" w:lineRule="auto"/>
        <w:jc w:val="center"/>
        <w:rPr>
          <w:rFonts w:ascii="Noto Sans" w:eastAsia="Noto Sans" w:hAnsi="Noto Sans" w:cs="Noto Sans"/>
          <w:b/>
          <w:bCs/>
          <w:sz w:val="26"/>
          <w:szCs w:val="26"/>
        </w:rPr>
      </w:pPr>
      <w:r>
        <w:rPr>
          <w:rFonts w:ascii="Noto Sans" w:eastAsia="Noto Sans" w:hAnsi="Noto Sans" w:cs="Noto Sans"/>
          <w:b/>
          <w:bCs/>
          <w:sz w:val="26"/>
          <w:szCs w:val="26"/>
        </w:rPr>
        <w:t>Checklist for Authors</w:t>
      </w:r>
    </w:p>
    <w:p w14:paraId="2010AE1D" w14:textId="77777777" w:rsidR="006A6BEF" w:rsidRDefault="006A6BEF">
      <w:pPr>
        <w:rPr>
          <w:rFonts w:ascii="Noto Sans" w:eastAsia="Noto Sans" w:hAnsi="Noto Sans" w:cs="Noto Sans"/>
          <w:sz w:val="20"/>
          <w:szCs w:val="20"/>
        </w:rPr>
      </w:pPr>
    </w:p>
    <w:p w14:paraId="3AF44861" w14:textId="77777777" w:rsidR="006A6BEF" w:rsidRDefault="00000000">
      <w:pPr>
        <w:rPr>
          <w:rFonts w:ascii="Noto Sans" w:eastAsia="Noto Sans" w:hAnsi="Noto Sans" w:cs="Noto Sans"/>
          <w:sz w:val="20"/>
          <w:szCs w:val="20"/>
        </w:rPr>
      </w:pPr>
      <w:r>
        <w:rPr>
          <w:rFonts w:ascii="Noto Sans" w:eastAsia="Noto Sans" w:hAnsi="Noto Sans" w:cs="Noto Sans"/>
          <w:sz w:val="20"/>
          <w:szCs w:val="20"/>
        </w:rPr>
        <w:t xml:space="preserve">The </w:t>
      </w:r>
      <w:hyperlink r:id="rId8">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488993C5" w14:textId="77777777" w:rsidR="006A6BEF" w:rsidRDefault="006A6BEF">
      <w:pPr>
        <w:rPr>
          <w:rFonts w:ascii="Noto Sans" w:eastAsia="Noto Sans" w:hAnsi="Noto Sans" w:cs="Noto Sans"/>
          <w:sz w:val="16"/>
          <w:szCs w:val="16"/>
        </w:rPr>
      </w:pPr>
      <w:bookmarkStart w:id="0" w:name="_heading=h.df1m1gbm3zpn" w:colFirst="0" w:colLast="0"/>
      <w:bookmarkEnd w:id="0"/>
    </w:p>
    <w:p w14:paraId="60F6C0EF" w14:textId="77777777" w:rsidR="006A6BEF" w:rsidRDefault="00000000">
      <w:pPr>
        <w:rPr>
          <w:rFonts w:ascii="Noto Sans" w:eastAsia="Noto Sans" w:hAnsi="Noto Sans" w:cs="Noto Sans"/>
          <w:sz w:val="20"/>
          <w:szCs w:val="20"/>
        </w:rPr>
      </w:pPr>
      <w:r>
        <w:rPr>
          <w:rFonts w:ascii="Noto Sans" w:eastAsia="Noto Sans" w:hAnsi="Noto Sans" w:cs="Noto Sans"/>
          <w:i/>
          <w:iCs/>
          <w:sz w:val="20"/>
          <w:szCs w:val="20"/>
        </w:rPr>
        <w:t>eLife</w:t>
      </w:r>
      <w:r>
        <w:rPr>
          <w:rFonts w:ascii="Noto Sans" w:eastAsia="Noto Sans" w:hAnsi="Noto Sans" w:cs="Noto Sans"/>
          <w:sz w:val="20"/>
          <w:szCs w:val="20"/>
        </w:rPr>
        <w:t xml:space="preserve"> asks authors to </w:t>
      </w:r>
      <w:r>
        <w:rPr>
          <w:rFonts w:ascii="Noto Sans" w:eastAsia="Noto Sans" w:hAnsi="Noto Sans" w:cs="Noto Sans"/>
          <w:b/>
          <w:bCs/>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9">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10">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1">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2">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iCs/>
          <w:sz w:val="20"/>
          <w:szCs w:val="20"/>
        </w:rPr>
        <w:t>eLife</w:t>
      </w:r>
      <w:r>
        <w:rPr>
          <w:rFonts w:ascii="Noto Sans" w:eastAsia="Noto Sans" w:hAnsi="Noto Sans" w:cs="Noto Sans"/>
          <w:sz w:val="20"/>
          <w:szCs w:val="20"/>
        </w:rPr>
        <w:t xml:space="preserve">’s </w:t>
      </w:r>
      <w:hyperlink r:id="rId13">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75547EE4" w14:textId="77777777" w:rsidR="006A6BEF" w:rsidRDefault="006A6BEF">
      <w:pPr>
        <w:rPr>
          <w:rFonts w:ascii="Noto Sans" w:eastAsia="Noto Sans" w:hAnsi="Noto Sans" w:cs="Noto Sans"/>
          <w:b/>
          <w:bCs/>
          <w:color w:val="434343"/>
          <w:sz w:val="16"/>
          <w:szCs w:val="16"/>
        </w:rPr>
      </w:pPr>
    </w:p>
    <w:p w14:paraId="4594EA83" w14:textId="77777777" w:rsidR="006A6BEF" w:rsidRDefault="00000000">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bCs/>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7CF57CD3" w14:textId="77777777" w:rsidR="006A6BEF" w:rsidRDefault="006A6BEF">
      <w:pPr>
        <w:spacing w:before="60" w:line="227" w:lineRule="auto"/>
        <w:rPr>
          <w:rFonts w:ascii="Noto Sans" w:eastAsia="Noto Sans" w:hAnsi="Noto Sans" w:cs="Noto Sans"/>
          <w:b/>
          <w:bCs/>
          <w:color w:val="434343"/>
          <w:sz w:val="16"/>
          <w:szCs w:val="16"/>
          <w:u w:val="single"/>
        </w:rPr>
      </w:pPr>
    </w:p>
    <w:p w14:paraId="70C2B7AA" w14:textId="77777777" w:rsidR="006A6BEF" w:rsidRDefault="00000000">
      <w:pPr>
        <w:spacing w:before="60" w:line="227" w:lineRule="auto"/>
        <w:rPr>
          <w:rFonts w:ascii="Noto Sans" w:eastAsia="Noto Sans" w:hAnsi="Noto Sans" w:cs="Noto Sans"/>
          <w:b/>
          <w:bCs/>
          <w:color w:val="434343"/>
        </w:rPr>
      </w:pPr>
      <w:r>
        <w:rPr>
          <w:rFonts w:ascii="Noto Sans" w:eastAsia="Noto Sans" w:hAnsi="Noto Sans" w:cs="Noto Sans"/>
          <w:b/>
          <w:bCs/>
          <w:color w:val="434343"/>
        </w:rPr>
        <w:t>Materials:</w:t>
      </w:r>
    </w:p>
    <w:p w14:paraId="790CEF43" w14:textId="77777777" w:rsidR="006A6BEF" w:rsidRDefault="00000000">
      <w:pPr>
        <w:spacing w:line="227"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bl>
      <w:tblPr>
        <w:tblStyle w:val="a"/>
        <w:tblW w:w="97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6A6BEF" w14:paraId="4E0A1DF8"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43DCF2"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7FF047"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531AEC2"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749AFE4B" w14:textId="77777777">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752C9698"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A9A4DD0"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1CA80380"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7E2B2DC2" w14:textId="77777777">
        <w:trPr>
          <w:trHeight w:val="425"/>
        </w:trPr>
        <w:tc>
          <w:tcPr>
            <w:tcW w:w="5550" w:type="dxa"/>
            <w:tcBorders>
              <w:top w:val="nil"/>
              <w:left w:val="nil"/>
              <w:bottom w:val="nil"/>
              <w:right w:val="nil"/>
            </w:tcBorders>
            <w:tcMar>
              <w:top w:w="100" w:type="dxa"/>
              <w:left w:w="100" w:type="dxa"/>
              <w:bottom w:w="100" w:type="dxa"/>
              <w:right w:w="100" w:type="dxa"/>
            </w:tcMar>
          </w:tcPr>
          <w:p w14:paraId="791A774F" w14:textId="77777777" w:rsidR="006A6BEF" w:rsidRDefault="006A6BEF">
            <w:pPr>
              <w:rPr>
                <w:rFonts w:ascii="Noto Sans" w:eastAsia="Noto Sans" w:hAnsi="Noto Sans" w:cs="Noto Sans"/>
                <w:b/>
                <w:bCs/>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075FF97B" w14:textId="77777777" w:rsidR="006A6BEF" w:rsidRDefault="00000000">
            <w:pPr>
              <w:spacing w:line="225" w:lineRule="auto"/>
              <w:ind w:left="40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07F286D4" w14:textId="77777777" w:rsidR="006A6BEF" w:rsidRDefault="00000000">
            <w:pPr>
              <w:spacing w:line="225" w:lineRule="auto"/>
              <w:ind w:left="400"/>
              <w:jc w:val="center"/>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r>
      <w:tr w:rsidR="006A6BEF" w14:paraId="4E03723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98754E6"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7D0EB46"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4DEAF99"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09C0FC16" w14:textId="77777777">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7542C9C7"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4">
              <w:r>
                <w:rPr>
                  <w:rFonts w:ascii="Noto Sans" w:eastAsia="Noto Sans" w:hAnsi="Noto Sans" w:cs="Noto Sans"/>
                  <w:color w:val="434343"/>
                  <w:sz w:val="18"/>
                  <w:szCs w:val="18"/>
                </w:rPr>
                <w:t xml:space="preserve"> </w:t>
              </w:r>
            </w:hyperlink>
            <w:hyperlink r:id="rId15">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1E43D0E7"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2AB20044"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61C9790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B938121" w14:textId="77777777" w:rsidR="006A6BEF" w:rsidRDefault="006A6BEF">
            <w:pPr>
              <w:rPr>
                <w:rFonts w:ascii="Noto Sans" w:eastAsia="Noto Sans" w:hAnsi="Noto Sans" w:cs="Noto Sans"/>
                <w:b/>
                <w:bCs/>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4CD9E1C" w14:textId="77777777" w:rsidR="006A6BEF" w:rsidRDefault="00000000">
            <w:pPr>
              <w:ind w:left="40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F37912F" w14:textId="77777777" w:rsidR="006A6BEF" w:rsidRDefault="00000000">
            <w:pPr>
              <w:ind w:left="400"/>
              <w:jc w:val="center"/>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r>
      <w:tr w:rsidR="006A6BEF" w14:paraId="1942463C"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9353A9F"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A168BE6"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E01E1DA"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78CCF3B5" w14:textId="77777777">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8D1DB4" w14:textId="77777777" w:rsidR="006A6BEF" w:rsidRDefault="00000000">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6B934D2"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2C1922"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756DFC8B" w14:textId="77777777">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69AE5618" w14:textId="77777777" w:rsidR="006A6BEF" w:rsidRDefault="006A6BEF">
            <w:pPr>
              <w:rPr>
                <w:rFonts w:ascii="Noto Sans" w:eastAsia="Noto Sans" w:hAnsi="Noto Sans" w:cs="Noto Sans"/>
                <w:b/>
                <w:bCs/>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6029D3EC" w14:textId="77777777" w:rsidR="006A6BEF" w:rsidRDefault="00000000">
            <w:pPr>
              <w:ind w:left="400"/>
              <w:rPr>
                <w:rFonts w:ascii="Noto Sans" w:eastAsia="Noto Sans" w:hAnsi="Noto Sans" w:cs="Noto Sans"/>
                <w:b/>
                <w:bCs/>
                <w:color w:val="434343"/>
              </w:rPr>
            </w:pPr>
            <w:r>
              <w:rPr>
                <w:rFonts w:ascii="Noto Sans" w:eastAsia="Noto Sans" w:hAnsi="Noto Sans" w:cs="Noto Sans"/>
                <w:b/>
                <w:bCs/>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FB3F294" w14:textId="77777777" w:rsidR="006A6BEF" w:rsidRDefault="00000000">
            <w:pPr>
              <w:ind w:left="400"/>
              <w:jc w:val="center"/>
              <w:rPr>
                <w:rFonts w:ascii="Noto Sans" w:eastAsia="Noto Sans" w:hAnsi="Noto Sans" w:cs="Noto Sans"/>
                <w:b/>
                <w:bCs/>
                <w:color w:val="434343"/>
              </w:rPr>
            </w:pPr>
            <w:r>
              <w:rPr>
                <w:rFonts w:ascii="Noto Sans" w:eastAsia="Noto Sans" w:hAnsi="Noto Sans" w:cs="Noto Sans"/>
                <w:b/>
                <w:bCs/>
                <w:color w:val="434343"/>
              </w:rPr>
              <w:t xml:space="preserve"> </w:t>
            </w:r>
          </w:p>
        </w:tc>
      </w:tr>
      <w:tr w:rsidR="006A6BEF" w14:paraId="0BE6BF1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77E461A"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254129C"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E5AC93B"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34E88D64"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3E9DD8"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333A26EF"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Found in Materials and Methods – MOA-seq library preparation and sequencing section. The study used commercially available human umbilical vein endothelial cells (HUVECs; Homo sapiens; ATCC, Cat. No. PSC-100-010) maintained between passages 5 </w:t>
            </w:r>
            <w:r>
              <w:rPr>
                <w:rFonts w:ascii="Noto Sans" w:eastAsia="Noto Sans" w:hAnsi="Noto Sans" w:cs="Noto Sans"/>
                <w:color w:val="434343"/>
                <w:sz w:val="18"/>
                <w:szCs w:val="18"/>
              </w:rPr>
              <w:lastRenderedPageBreak/>
              <w:t xml:space="preserve">and 7 under standard culture conditions. Cells were certified as mycoplasma-free by the supplier, and STR authentication was not performed. Control MOA libraries were generated using human A549 lung adenocarcinoma cells (Homo sapiens; ATCC, Cat. No. CCL-185).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58F472E4" w14:textId="77777777" w:rsidR="006A6BEF" w:rsidRDefault="006A6BEF">
            <w:pPr>
              <w:rPr>
                <w:rFonts w:ascii="Noto Sans" w:eastAsia="Noto Sans" w:hAnsi="Noto Sans" w:cs="Noto Sans"/>
                <w:color w:val="434343"/>
                <w:sz w:val="18"/>
                <w:szCs w:val="18"/>
              </w:rPr>
            </w:pPr>
          </w:p>
        </w:tc>
      </w:tr>
      <w:tr w:rsidR="006A6BEF" w14:paraId="271662BE" w14:textId="77777777">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84F2C5"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Primary cultures: Provide species, strain, sex of origin, genetic modification status.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7F62474E"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HUVECs (ATCC, Cat. No. PSC-100-010) source and information provided in first section of Materials and Methods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78567012"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 f</w:t>
            </w:r>
          </w:p>
        </w:tc>
      </w:tr>
      <w:tr w:rsidR="006A6BEF" w14:paraId="1561AE1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20D6E4C6" w14:textId="77777777" w:rsidR="006A6BEF" w:rsidRDefault="006A6BEF">
            <w:pPr>
              <w:rPr>
                <w:rFonts w:ascii="Noto Sans" w:eastAsia="Noto Sans" w:hAnsi="Noto Sans" w:cs="Noto Sans"/>
                <w:b/>
                <w:bCs/>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F1339EC" w14:textId="77777777" w:rsidR="006A6BEF" w:rsidRDefault="00000000">
            <w:pPr>
              <w:ind w:left="40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FA20333" w14:textId="77777777" w:rsidR="006A6BEF" w:rsidRDefault="00000000">
            <w:pPr>
              <w:ind w:left="400"/>
              <w:jc w:val="center"/>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r>
      <w:tr w:rsidR="006A6BEF" w14:paraId="0E2DB236"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F609E24"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89FB99A"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9FF959"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6DDF3DD3"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1A8428"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364CB166"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73E58BE"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2B8CF5EC" w14:textId="77777777">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53A876"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C72846B"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04ED6A3"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2954209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9C315E1" w14:textId="77777777" w:rsidR="006A6BEF" w:rsidRDefault="006A6BEF">
            <w:pPr>
              <w:rPr>
                <w:rFonts w:ascii="Noto Sans" w:eastAsia="Noto Sans" w:hAnsi="Noto Sans" w:cs="Noto Sans"/>
                <w:b/>
                <w:bCs/>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2C2B4CF4" w14:textId="77777777" w:rsidR="006A6BEF" w:rsidRDefault="00000000">
            <w:pPr>
              <w:ind w:left="40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1433FBEB" w14:textId="77777777" w:rsidR="006A6BEF" w:rsidRDefault="00000000">
            <w:pPr>
              <w:ind w:left="400"/>
              <w:jc w:val="center"/>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r>
      <w:tr w:rsidR="006A6BEF" w14:paraId="088F6F12"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B731FDE"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A9A476A"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BB27716"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39244368" w14:textId="77777777">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A4C48F"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9154C36"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19782E"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4F8DF4FA" w14:textId="77777777">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3AC1F0"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C2EEB8E"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F0F787C"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1DC431D6"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3FC030C" w14:textId="77777777" w:rsidR="006A6BEF" w:rsidRDefault="006A6BEF">
            <w:pPr>
              <w:spacing w:line="225" w:lineRule="auto"/>
              <w:rPr>
                <w:rFonts w:ascii="Noto Sans" w:eastAsia="Noto Sans" w:hAnsi="Noto Sans" w:cs="Noto Sans"/>
                <w:b/>
                <w:bCs/>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460DB03C" w14:textId="77777777" w:rsidR="006A6BEF" w:rsidRDefault="00000000">
            <w:pPr>
              <w:ind w:left="40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162ED593" w14:textId="77777777" w:rsidR="006A6BEF" w:rsidRDefault="00000000">
            <w:pPr>
              <w:ind w:left="400"/>
              <w:jc w:val="center"/>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r>
      <w:tr w:rsidR="006A6BEF" w14:paraId="6F5D1781"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AB89285"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5D9BF7F"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D945A67"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5EB89195" w14:textId="77777777">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B93E4"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 gender and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1457E8D"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14B034" w14:textId="77777777" w:rsidR="006A6BEF" w:rsidRDefault="00000000">
            <w:pPr>
              <w:rPr>
                <w:rFonts w:ascii="Noto Sans" w:eastAsia="Noto Sans" w:hAnsi="Noto Sans" w:cs="Noto Sans"/>
                <w:b/>
                <w:bCs/>
                <w:color w:val="434343"/>
                <w:sz w:val="18"/>
                <w:szCs w:val="18"/>
              </w:rPr>
            </w:pPr>
            <w:r>
              <w:rPr>
                <w:rFonts w:ascii="Noto Sans" w:eastAsia="Noto Sans" w:hAnsi="Noto Sans" w:cs="Noto Sans"/>
                <w:color w:val="434343"/>
                <w:sz w:val="18"/>
                <w:szCs w:val="18"/>
              </w:rPr>
              <w:t>N/A</w:t>
            </w:r>
          </w:p>
        </w:tc>
      </w:tr>
    </w:tbl>
    <w:p w14:paraId="69B5E109" w14:textId="77777777" w:rsidR="006A6BEF" w:rsidRDefault="006A6BEF">
      <w:pPr>
        <w:spacing w:before="80" w:line="227" w:lineRule="auto"/>
        <w:rPr>
          <w:rFonts w:ascii="Noto Sans" w:eastAsia="Noto Sans" w:hAnsi="Noto Sans" w:cs="Noto Sans"/>
          <w:b/>
          <w:bCs/>
          <w:color w:val="434343"/>
          <w:sz w:val="16"/>
          <w:szCs w:val="16"/>
          <w:u w:val="single"/>
        </w:rPr>
      </w:pPr>
    </w:p>
    <w:p w14:paraId="0187034B" w14:textId="77777777" w:rsidR="006A6BEF" w:rsidRDefault="00000000">
      <w:pPr>
        <w:spacing w:before="80" w:line="227" w:lineRule="auto"/>
        <w:rPr>
          <w:rFonts w:ascii="Noto Sans" w:eastAsia="Noto Sans" w:hAnsi="Noto Sans" w:cs="Noto Sans"/>
          <w:b/>
          <w:bCs/>
          <w:color w:val="434343"/>
          <w:sz w:val="24"/>
          <w:szCs w:val="24"/>
        </w:rPr>
      </w:pPr>
      <w:bookmarkStart w:id="1" w:name="_heading=h.a2d4n3d944b1" w:colFirst="0" w:colLast="0"/>
      <w:bookmarkEnd w:id="1"/>
      <w:r>
        <w:rPr>
          <w:rFonts w:ascii="Noto Sans" w:eastAsia="Noto Sans" w:hAnsi="Noto Sans" w:cs="Noto Sans"/>
          <w:b/>
          <w:bCs/>
          <w:color w:val="434343"/>
          <w:sz w:val="24"/>
          <w:szCs w:val="24"/>
        </w:rPr>
        <w:t>Design:</w:t>
      </w:r>
    </w:p>
    <w:p w14:paraId="339612BD" w14:textId="77777777" w:rsidR="006A6BEF" w:rsidRDefault="00000000">
      <w:pPr>
        <w:spacing w:line="227"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bl>
      <w:tblPr>
        <w:tblStyle w:val="a0"/>
        <w:tblW w:w="96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6A6BEF" w14:paraId="3420353B"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F59A2DF"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CCA0B8E"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E2A342A"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59D44F72" w14:textId="77777777">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A6E995"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5BC81A"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4187885"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7C4B4C11"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0F8AD0B" w14:textId="77777777" w:rsidR="006A6BEF" w:rsidRDefault="006A6BEF">
            <w:pPr>
              <w:rPr>
                <w:rFonts w:ascii="Noto Sans" w:eastAsia="Noto Sans" w:hAnsi="Noto Sans" w:cs="Noto Sans"/>
                <w:b/>
                <w:bCs/>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F1356AA" w14:textId="77777777" w:rsidR="006A6BEF" w:rsidRDefault="00000000">
            <w:pPr>
              <w:spacing w:line="225" w:lineRule="auto"/>
              <w:ind w:left="50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3F07F2A" w14:textId="77777777" w:rsidR="006A6BEF" w:rsidRDefault="00000000">
            <w:pPr>
              <w:spacing w:line="225" w:lineRule="auto"/>
              <w:ind w:left="540"/>
              <w:jc w:val="center"/>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r>
      <w:tr w:rsidR="006A6BEF" w14:paraId="19021A6E"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FB211E6"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D6589C9"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B63A6C7"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049FD5F6" w14:textId="77777777">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BCA44A" w14:textId="77777777" w:rsidR="006A6BEF" w:rsidRDefault="00000000">
            <w:pPr>
              <w:rPr>
                <w:rFonts w:ascii="Noto Sans" w:eastAsia="Noto Sans" w:hAnsi="Noto Sans" w:cs="Noto Sans"/>
                <w:b/>
                <w:bCs/>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FF75271"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The laboratory protocol is described in the Materials and Methods – MOA-seq library preparation and sequencing section of the manuscript, which details HUVEC cell culture, hypoxia treatment, nuclei isolation, MNase digestion, DNA extraction, library preparation, quality assessment, and Illumina sequencing. No external step-by-step protocol is available.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E22B5A9" w14:textId="77777777" w:rsidR="006A6BEF" w:rsidRDefault="006A6BEF">
            <w:pPr>
              <w:spacing w:line="225" w:lineRule="auto"/>
              <w:rPr>
                <w:rFonts w:ascii="Noto Sans" w:eastAsia="Noto Sans" w:hAnsi="Noto Sans" w:cs="Noto Sans"/>
                <w:color w:val="434343"/>
                <w:sz w:val="18"/>
                <w:szCs w:val="18"/>
              </w:rPr>
            </w:pPr>
          </w:p>
        </w:tc>
      </w:tr>
      <w:tr w:rsidR="006A6BEF" w14:paraId="61AF7521"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02DFEF60" w14:textId="77777777" w:rsidR="006A6BEF" w:rsidRDefault="006A6BEF">
            <w:pPr>
              <w:rPr>
                <w:rFonts w:ascii="Noto Sans" w:eastAsia="Noto Sans" w:hAnsi="Noto Sans" w:cs="Noto Sans"/>
                <w:b/>
                <w:bCs/>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63EEE168" w14:textId="77777777" w:rsidR="006A6BEF" w:rsidRDefault="00000000">
            <w:pPr>
              <w:spacing w:line="225" w:lineRule="auto"/>
              <w:ind w:left="50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5E4A4114" w14:textId="77777777" w:rsidR="006A6BEF" w:rsidRDefault="00000000">
            <w:pPr>
              <w:spacing w:line="225" w:lineRule="auto"/>
              <w:ind w:left="540"/>
              <w:jc w:val="center"/>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r>
      <w:tr w:rsidR="006A6BEF" w14:paraId="1E5BD67F"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32D5D2A"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Experimental study design (statistics details) *</w:t>
            </w:r>
          </w:p>
        </w:tc>
      </w:tr>
      <w:tr w:rsidR="006A6BEF" w14:paraId="65E4BEF3"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408F7E"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BCDA7F1"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BB0BA38"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70C3AF59" w14:textId="77777777">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37E4A7E"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EFC91EC"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A76F5E1"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2A486727" w14:textId="77777777">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2AD7C7"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CA4BD3D"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6FCC619"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color w:val="434343"/>
                <w:sz w:val="18"/>
                <w:szCs w:val="18"/>
              </w:rPr>
              <w:t>N/A</w:t>
            </w:r>
          </w:p>
        </w:tc>
      </w:tr>
      <w:tr w:rsidR="006A6BEF" w14:paraId="4CEEB4EA" w14:textId="77777777">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AA143E"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5D75688"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11F683D"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59B10470" w14:textId="77777777">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9F5D28"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08C5B3CE"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38FAB72"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32F4A33E" w14:textId="77777777">
        <w:trPr>
          <w:trHeight w:val="425"/>
        </w:trPr>
        <w:tc>
          <w:tcPr>
            <w:tcW w:w="5595" w:type="dxa"/>
            <w:tcBorders>
              <w:top w:val="nil"/>
              <w:left w:val="nil"/>
              <w:bottom w:val="nil"/>
              <w:right w:val="nil"/>
            </w:tcBorders>
            <w:tcMar>
              <w:top w:w="100" w:type="dxa"/>
              <w:left w:w="100" w:type="dxa"/>
              <w:bottom w:w="100" w:type="dxa"/>
              <w:right w:w="100" w:type="dxa"/>
            </w:tcMar>
          </w:tcPr>
          <w:p w14:paraId="77041639" w14:textId="77777777" w:rsidR="006A6BEF" w:rsidRDefault="006A6BEF">
            <w:pPr>
              <w:rPr>
                <w:rFonts w:ascii="Noto Sans" w:eastAsia="Noto Sans" w:hAnsi="Noto Sans" w:cs="Noto Sans"/>
                <w:b/>
                <w:bCs/>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72D58B3B" w14:textId="77777777" w:rsidR="006A6BEF" w:rsidRDefault="00000000">
            <w:pPr>
              <w:spacing w:line="225" w:lineRule="auto"/>
              <w:ind w:left="50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054B4076" w14:textId="77777777" w:rsidR="006A6BEF" w:rsidRDefault="00000000">
            <w:pPr>
              <w:spacing w:line="225" w:lineRule="auto"/>
              <w:ind w:left="540"/>
              <w:jc w:val="center"/>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r>
      <w:tr w:rsidR="006A6BEF" w14:paraId="2DEB38EB"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E275A16"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6B7F2A7"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9E4E9D5"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1586726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F34D1D"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7E21ECA"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 xml:space="preserve">Found in Materials and Methods – MOA-seq library preparation and sequencing; Within sample and differential peak calling sections. Two independent biological replicates were performed for each experimental condition (normoxia, 1-hour hypoxia, 3-hour hypoxia, and 24-hour hypoxia). The number of biological replicates was selected based on established practice for genome-wide chromatin profiling </w:t>
            </w:r>
            <w:r>
              <w:rPr>
                <w:rFonts w:ascii="Noto Sans" w:eastAsia="Noto Sans" w:hAnsi="Noto Sans" w:cs="Noto Sans"/>
                <w:color w:val="434343"/>
                <w:sz w:val="18"/>
                <w:szCs w:val="18"/>
              </w:rPr>
              <w:lastRenderedPageBreak/>
              <w:t>experiments. Peak reproducibility between biological replicates was evaluated using the Irreproducible Discovery Rate (IDR) framework in accordance with ENCODE guidelines. No biological replicate samples were excluded as outliers. Reads and peaks were filtered according to predefined quality-control criteria, including mapping quality, PCR duplicate removal, blacklist regions, control regions, and IDR reproducibility.</w:t>
            </w:r>
          </w:p>
          <w:p w14:paraId="58C3E946" w14:textId="77777777" w:rsidR="006A6BEF" w:rsidRDefault="006A6BEF">
            <w:pPr>
              <w:spacing w:line="225" w:lineRule="auto"/>
              <w:rPr>
                <w:rFonts w:ascii="Noto Sans" w:eastAsia="Noto Sans" w:hAnsi="Noto Sans" w:cs="Noto San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ED8FD9D" w14:textId="77777777" w:rsidR="006A6BEF" w:rsidRDefault="006A6BEF">
            <w:pPr>
              <w:spacing w:line="225" w:lineRule="auto"/>
              <w:rPr>
                <w:rFonts w:ascii="Noto Sans" w:eastAsia="Noto Sans" w:hAnsi="Noto Sans" w:cs="Noto Sans"/>
                <w:color w:val="434343"/>
                <w:sz w:val="18"/>
                <w:szCs w:val="18"/>
              </w:rPr>
            </w:pPr>
          </w:p>
        </w:tc>
      </w:tr>
      <w:tr w:rsidR="006A6BEF" w14:paraId="6896E133" w14:textId="77777777">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E00214"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9BCB498"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Found in Materials and Methods – MOA-seq library preparation and sequencing; Within sample and differential peak calling sections. The data presented throughout the study represent biological replicates. Two independent biological replicates were generated for each condition and used for all sequencing and downstream analyses. Technical replicates were not performed or analyzed separately.</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7692AAD" w14:textId="77777777" w:rsidR="006A6BEF" w:rsidRDefault="006A6BEF">
            <w:pPr>
              <w:spacing w:line="225" w:lineRule="auto"/>
              <w:rPr>
                <w:rFonts w:ascii="Noto Sans" w:eastAsia="Noto Sans" w:hAnsi="Noto Sans" w:cs="Noto Sans"/>
                <w:color w:val="434343"/>
                <w:sz w:val="18"/>
                <w:szCs w:val="18"/>
              </w:rPr>
            </w:pPr>
          </w:p>
        </w:tc>
      </w:tr>
      <w:tr w:rsidR="006A6BEF" w14:paraId="110B9AA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F4A3DC3" w14:textId="77777777" w:rsidR="006A6BEF" w:rsidRDefault="006A6BEF">
            <w:pPr>
              <w:rPr>
                <w:rFonts w:ascii="Noto Sans" w:eastAsia="Noto Sans" w:hAnsi="Noto Sans" w:cs="Noto Sans"/>
                <w:b/>
                <w:bCs/>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5E3052AE" w14:textId="77777777" w:rsidR="006A6BEF" w:rsidRDefault="00000000">
            <w:pPr>
              <w:spacing w:line="225" w:lineRule="auto"/>
              <w:ind w:left="50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7EE0CC53" w14:textId="77777777" w:rsidR="006A6BEF" w:rsidRDefault="00000000">
            <w:pPr>
              <w:spacing w:line="225" w:lineRule="auto"/>
              <w:ind w:left="540"/>
              <w:jc w:val="center"/>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r>
      <w:tr w:rsidR="006A6BEF" w14:paraId="69B3D1DF"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539582F"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3F8B02F"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68BBBE2"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78CC9EE2" w14:textId="77777777">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87531F"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0C8C9073"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color w:val="434343"/>
                <w:sz w:val="18"/>
                <w:szCs w:val="18"/>
              </w:rPr>
              <w:t>N/A</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78E4A7F"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2BDFDE0A"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F83F82"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AA93E5C"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9CA2AFD"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738B5EE1" w14:textId="77777777">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55ECF7"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9709692"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F4D4CE3"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r w:rsidR="006A6BEF" w14:paraId="5A34A153"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4C3C357" w14:textId="77777777" w:rsidR="006A6BEF" w:rsidRDefault="006A6BEF">
            <w:pPr>
              <w:rPr>
                <w:rFonts w:ascii="Noto Sans" w:eastAsia="Noto Sans" w:hAnsi="Noto Sans" w:cs="Noto Sans"/>
                <w:b/>
                <w:bCs/>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2529C623" w14:textId="77777777" w:rsidR="006A6BEF" w:rsidRDefault="00000000">
            <w:pPr>
              <w:spacing w:line="225" w:lineRule="auto"/>
              <w:ind w:left="50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EA2E4E9" w14:textId="77777777" w:rsidR="006A6BEF" w:rsidRDefault="00000000">
            <w:pPr>
              <w:spacing w:line="225" w:lineRule="auto"/>
              <w:ind w:left="540"/>
              <w:jc w:val="center"/>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r>
      <w:tr w:rsidR="006A6BEF" w14:paraId="6A41F579"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01DCF76"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2ACA156"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3B60DF3"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403F249E"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731DC3"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7E49B6E0"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CF9A516"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bl>
    <w:p w14:paraId="516CA354" w14:textId="77777777" w:rsidR="006A6BEF" w:rsidRDefault="006A6BEF">
      <w:pPr>
        <w:spacing w:line="227" w:lineRule="auto"/>
        <w:rPr>
          <w:rFonts w:ascii="Noto Sans" w:eastAsia="Noto Sans" w:hAnsi="Noto Sans" w:cs="Noto Sans"/>
          <w:b/>
          <w:bCs/>
          <w:color w:val="434343"/>
          <w:sz w:val="18"/>
          <w:szCs w:val="18"/>
        </w:rPr>
      </w:pPr>
    </w:p>
    <w:p w14:paraId="4FC2B6DD" w14:textId="77777777" w:rsidR="006A6BEF" w:rsidRDefault="00000000">
      <w:pPr>
        <w:spacing w:before="60" w:line="227" w:lineRule="auto"/>
        <w:rPr>
          <w:rFonts w:ascii="Noto Sans" w:eastAsia="Noto Sans" w:hAnsi="Noto Sans" w:cs="Noto Sans"/>
          <w:b/>
          <w:bCs/>
          <w:color w:val="434343"/>
          <w:sz w:val="24"/>
          <w:szCs w:val="24"/>
        </w:rPr>
      </w:pPr>
      <w:r>
        <w:rPr>
          <w:rFonts w:ascii="Noto Sans" w:eastAsia="Noto Sans" w:hAnsi="Noto Sans" w:cs="Noto Sans"/>
          <w:b/>
          <w:bCs/>
          <w:color w:val="434343"/>
          <w:sz w:val="24"/>
          <w:szCs w:val="24"/>
        </w:rPr>
        <w:lastRenderedPageBreak/>
        <w:t>Analysis:</w:t>
      </w:r>
    </w:p>
    <w:p w14:paraId="7BEE24F5" w14:textId="77777777" w:rsidR="006A6BEF" w:rsidRDefault="00000000">
      <w:pPr>
        <w:spacing w:line="227"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bl>
      <w:tblPr>
        <w:tblStyle w:val="a1"/>
        <w:tblW w:w="97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6A6BEF" w14:paraId="0D04B1C2"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A0CC1B0"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66F7259"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C82B274"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72D1AD7F" w14:textId="77777777">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241A00"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6C062027"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In Materials and Methods – Within sample and differential peak calling section. Exclusion criteria were pre-established as part of the bioinformatic analysis pipeline. Reads with a mapping quality score (MAPQ) below 20, PCR duplicates, ENCODE blacklist regions, and MOA control regions were excluded prior to downstream analyses. No biological samples were excluded after sequencing. Peak reproducibility was assessed using the Irreproducible Discovery Rate (IDR) framework, and only reproducible peaks were retained for subsequent analyses.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20C742D" w14:textId="77777777" w:rsidR="006A6BEF" w:rsidRDefault="006A6BEF">
            <w:pPr>
              <w:spacing w:line="225" w:lineRule="auto"/>
              <w:rPr>
                <w:rFonts w:ascii="Noto Sans" w:eastAsia="Noto Sans" w:hAnsi="Noto Sans" w:cs="Noto Sans"/>
                <w:color w:val="434343"/>
                <w:sz w:val="18"/>
                <w:szCs w:val="18"/>
              </w:rPr>
            </w:pPr>
          </w:p>
        </w:tc>
      </w:tr>
      <w:tr w:rsidR="006A6BEF" w14:paraId="27B11137"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0F9E874" w14:textId="77777777" w:rsidR="006A6BEF" w:rsidRDefault="006A6BEF">
            <w:pPr>
              <w:rPr>
                <w:rFonts w:ascii="Noto Sans" w:eastAsia="Noto Sans" w:hAnsi="Noto Sans" w:cs="Noto Sans"/>
                <w:b/>
                <w:bCs/>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3E57AC24" w14:textId="77777777" w:rsidR="006A6BEF" w:rsidRDefault="00000000">
            <w:pPr>
              <w:spacing w:line="225" w:lineRule="auto"/>
              <w:ind w:left="50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4473C09D" w14:textId="77777777" w:rsidR="006A6BEF" w:rsidRDefault="00000000">
            <w:pPr>
              <w:spacing w:line="225" w:lineRule="auto"/>
              <w:ind w:left="540"/>
              <w:jc w:val="center"/>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r>
      <w:tr w:rsidR="006A6BEF" w14:paraId="6EDA7173"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EEE3E13"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4D0499A"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5A46598"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707C3F71" w14:textId="77777777">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3F44EF" w14:textId="77777777" w:rsidR="006A6BEF" w:rsidRDefault="00000000">
            <w:pPr>
              <w:rPr>
                <w:rFonts w:ascii="Noto Sans" w:eastAsia="Noto Sans" w:hAnsi="Noto Sans" w:cs="Noto Sans"/>
                <w:b/>
                <w:bCs/>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0F445DEB"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 xml:space="preserve">In Materials and Methods – Within sample and differential peak calling; MOA-seq enrichment analyses; Hierarchical clustering analysis; Motif discovery and analysis; Gene Set Enrichment Analysis sections. Statistical analyses were selected based on the type of genomic data being analyzed. Peak reproducibility between biological replicates was assessed using the Irreproducible Discovery Rate (IDR) framework. Differential transcription factor occupancy was identified using the MACS3 bdgdiff algorithm, with the likelihood ratio cutoff determined by the elbow method. Enrichment analyses were performed using permutation-based z-score calculations (100 randomized iterations), Enrichr, and Gene Set Enrichment Analysis (GSEA) implemented through the clusterProfiler package. Differential gene expression was analyzed using DESeq2 with an adjusted p-value threshold of ≤0.05. Motif enrichment analyses were performed using XSTREME and SEA from the MEME Suite. </w:t>
            </w:r>
            <w:r>
              <w:rPr>
                <w:rFonts w:ascii="Noto Sans" w:eastAsia="Noto Sans" w:hAnsi="Noto Sans" w:cs="Noto Sans"/>
                <w:color w:val="434343"/>
                <w:sz w:val="18"/>
                <w:szCs w:val="18"/>
              </w:rPr>
              <w:lastRenderedPageBreak/>
              <w:t>These methods were selected because they are widely accepted and appropriate for identifying reproducible peaks, differential chromatin occupancy, enriched pathways, differential gene expression, and transcription factor binding motifs in high-throughput sequencing datasets.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CD3B2B9" w14:textId="77777777" w:rsidR="006A6BEF" w:rsidRDefault="006A6BEF">
            <w:pPr>
              <w:spacing w:line="225" w:lineRule="auto"/>
              <w:rPr>
                <w:rFonts w:ascii="Noto Sans" w:eastAsia="Noto Sans" w:hAnsi="Noto Sans" w:cs="Noto Sans"/>
                <w:color w:val="434343"/>
                <w:sz w:val="18"/>
                <w:szCs w:val="18"/>
              </w:rPr>
            </w:pPr>
          </w:p>
        </w:tc>
      </w:tr>
      <w:tr w:rsidR="006A6BEF" w14:paraId="6A79B93B"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99AC2E4" w14:textId="77777777" w:rsidR="006A6BEF" w:rsidRDefault="006A6BEF">
            <w:pPr>
              <w:rPr>
                <w:rFonts w:ascii="Noto Sans" w:eastAsia="Noto Sans" w:hAnsi="Noto Sans" w:cs="Noto Sans"/>
                <w:b/>
                <w:bCs/>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713393F2" w14:textId="77777777" w:rsidR="006A6BEF" w:rsidRDefault="00000000">
            <w:pPr>
              <w:spacing w:line="225" w:lineRule="auto"/>
              <w:ind w:left="50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62BF9310" w14:textId="77777777" w:rsidR="006A6BEF" w:rsidRDefault="00000000">
            <w:pPr>
              <w:spacing w:line="225" w:lineRule="auto"/>
              <w:ind w:left="540"/>
              <w:jc w:val="center"/>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r>
      <w:tr w:rsidR="006A6BEF" w14:paraId="3BE3318D"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AC40644"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D3145E1"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652A726"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4C371950" w14:textId="77777777">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F0B269"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DF924DC"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Found in Data Access section. The manuscript includes a Data Availability statement describing the public availability of all newly generated datasets. MOA-seq sequencing data have been deposited in the NCBI Sequence Read Archive (SRA) under accession PRJNA1217882, and processed MOA-seq BigWig and peak files have been deposited in the Gene Expression Omnibus (GEO) under accession GSE289863. The datasets are publicly accessible through these repositories.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6A07E708" w14:textId="77777777" w:rsidR="006A6BEF" w:rsidRDefault="006A6BEF">
            <w:pPr>
              <w:spacing w:line="225" w:lineRule="auto"/>
              <w:rPr>
                <w:rFonts w:ascii="Noto Sans" w:eastAsia="Noto Sans" w:hAnsi="Noto Sans" w:cs="Noto Sans"/>
                <w:color w:val="434343"/>
                <w:sz w:val="18"/>
                <w:szCs w:val="18"/>
              </w:rPr>
            </w:pPr>
          </w:p>
        </w:tc>
      </w:tr>
      <w:tr w:rsidR="006A6BEF" w14:paraId="4FBE2FD0"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D2F21E" w14:textId="77777777" w:rsidR="006A6BEF" w:rsidRDefault="00000000">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F9F63DB"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Found in Data Access section. All newly generated MOA-seq datasets are publicly available through the NCBI Sequence Read Archive (SRA) under accession PRJNA1217882 and the Gene Expression Omnibus (GEO) under accession GSE289863. These repositories provide open public access to the sequencing data and processed files.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0C6A53F" w14:textId="77777777" w:rsidR="006A6BEF" w:rsidRDefault="006A6BEF">
            <w:pPr>
              <w:spacing w:line="225" w:lineRule="auto"/>
              <w:rPr>
                <w:rFonts w:ascii="Noto Sans" w:eastAsia="Noto Sans" w:hAnsi="Noto Sans" w:cs="Noto Sans"/>
                <w:color w:val="434343"/>
                <w:sz w:val="18"/>
                <w:szCs w:val="18"/>
              </w:rPr>
            </w:pPr>
          </w:p>
        </w:tc>
      </w:tr>
      <w:tr w:rsidR="006A6BEF" w14:paraId="6B0523E0" w14:textId="77777777">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3D14CE" w14:textId="77777777" w:rsidR="006A6BEF" w:rsidRDefault="00000000">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1853FF4D"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The study also reused publicly available datasets, including ENCODE bulk RNA-seq, candidate cis-regulatory element (cCRE), DNase I hypersensitivity, and transcription factor ChIP-seq datasets from the ReMap 2022 database. These datasets are cited in the manuscript through their corresponding publications and accession identifiers where available.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6975E5FE" w14:textId="77777777" w:rsidR="006A6BEF" w:rsidRDefault="006A6BEF">
            <w:pPr>
              <w:spacing w:line="225" w:lineRule="auto"/>
              <w:rPr>
                <w:rFonts w:ascii="Noto Sans" w:eastAsia="Noto Sans" w:hAnsi="Noto Sans" w:cs="Noto Sans"/>
                <w:color w:val="434343"/>
                <w:sz w:val="18"/>
                <w:szCs w:val="18"/>
              </w:rPr>
            </w:pPr>
          </w:p>
        </w:tc>
      </w:tr>
      <w:tr w:rsidR="006A6BEF" w14:paraId="2D50F4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3F3E4A14" w14:textId="77777777" w:rsidR="006A6BEF" w:rsidRDefault="006A6BEF">
            <w:pPr>
              <w:rPr>
                <w:rFonts w:ascii="Noto Sans" w:eastAsia="Noto Sans" w:hAnsi="Noto Sans" w:cs="Noto Sans"/>
                <w:b/>
                <w:bCs/>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53ACA4ED" w14:textId="77777777" w:rsidR="006A6BEF" w:rsidRDefault="00000000">
            <w:pPr>
              <w:spacing w:line="225" w:lineRule="auto"/>
              <w:ind w:left="50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13FF2C3" w14:textId="77777777" w:rsidR="006A6BEF" w:rsidRDefault="00000000">
            <w:pPr>
              <w:spacing w:line="225" w:lineRule="auto"/>
              <w:ind w:left="540"/>
              <w:jc w:val="center"/>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c>
      </w:tr>
      <w:tr w:rsidR="006A6BEF" w14:paraId="18C0102A"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5BE3F1D" w14:textId="77777777" w:rsidR="006A6BEF" w:rsidRDefault="00000000">
            <w:pPr>
              <w:rPr>
                <w:rFonts w:ascii="Noto Sans" w:eastAsia="Noto Sans" w:hAnsi="Noto Sans" w:cs="Noto Sans"/>
                <w:b/>
                <w:bCs/>
                <w:color w:val="434343"/>
                <w:sz w:val="18"/>
                <w:szCs w:val="18"/>
              </w:rPr>
            </w:pPr>
            <w:r>
              <w:rPr>
                <w:rFonts w:ascii="Noto Sans" w:eastAsia="Noto Sans" w:hAnsi="Noto Sans" w:cs="Noto Sans"/>
                <w:b/>
                <w:bCs/>
                <w:color w:val="434343"/>
                <w:sz w:val="18"/>
                <w:szCs w:val="18"/>
              </w:rPr>
              <w:lastRenderedPageBreak/>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E87E785"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EC9A4B1"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390C105F" w14:textId="77777777">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38EA76"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187641E"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Found in Materials and Methods – Gene Set Enrichment Analysis section. The manuscript includes a Code Availability statement describing the availability of all custom code required to reproduce the computational analyses. Custom MOA-seq processing and analysis scripts have been deposited on Zenodo (DOI: 10.5281/zenodo.16595154) and are also publicly available through the GitHub repository (https://github.com/as5906/HypoxiaMOA-HUVEC). No restrictions apply to accessing these resources.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7218B607" w14:textId="77777777" w:rsidR="006A6BEF" w:rsidRDefault="006A6BEF">
            <w:pPr>
              <w:spacing w:line="225" w:lineRule="auto"/>
              <w:rPr>
                <w:rFonts w:ascii="Noto Sans" w:eastAsia="Noto Sans" w:hAnsi="Noto Sans" w:cs="Noto Sans"/>
                <w:color w:val="434343"/>
                <w:sz w:val="18"/>
                <w:szCs w:val="18"/>
              </w:rPr>
            </w:pPr>
          </w:p>
        </w:tc>
      </w:tr>
      <w:tr w:rsidR="006A6BEF" w14:paraId="1DFA3BF3" w14:textId="77777777">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DCE0A9"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1AA36633"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Found in Materials and Methods – Gene Set Enrichment Analysis section. All newly developed analysis scripts used for MOA-seq processing and downstream analyses are publicly available through Zenodo (DOI: 10.5281/zenodo.16595154) and GitHub (https://github.com/as5906/HypoxiaMOA-HUVEC). The code is publicly available through Zenodo and GitHub. The repository contains the scripts required to reproduce the computational analyses presented in this study.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09946BDA" w14:textId="77777777" w:rsidR="006A6BEF" w:rsidRDefault="006A6BEF">
            <w:pPr>
              <w:spacing w:line="225" w:lineRule="auto"/>
              <w:rPr>
                <w:rFonts w:ascii="Noto Sans" w:eastAsia="Noto Sans" w:hAnsi="Noto Sans" w:cs="Noto Sans"/>
                <w:color w:val="434343"/>
                <w:sz w:val="18"/>
                <w:szCs w:val="18"/>
              </w:rPr>
            </w:pPr>
          </w:p>
        </w:tc>
      </w:tr>
      <w:tr w:rsidR="006A6BEF" w14:paraId="5B7D82A2"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DAA422" w14:textId="77777777" w:rsidR="006A6BEF" w:rsidRDefault="00000000">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15D77170"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The study also utilized publicly available software packages, including Cutadapt, FLASh, BWA-MEM2, SAMtools, BEDTools, MACS3, IDR, ChIPseeker, deepTools, the MEME Suite (XSTREME and SEA), DESeq2, clusterProfiler, and Enrichr. These software tools are cited in the Materials and Methods section through their corresponding publications.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05279B4D" w14:textId="77777777" w:rsidR="006A6BEF" w:rsidRDefault="006A6BEF">
            <w:pPr>
              <w:spacing w:line="225" w:lineRule="auto"/>
              <w:rPr>
                <w:rFonts w:ascii="Noto Sans" w:eastAsia="Noto Sans" w:hAnsi="Noto Sans" w:cs="Noto Sans"/>
                <w:color w:val="434343"/>
                <w:sz w:val="18"/>
                <w:szCs w:val="18"/>
              </w:rPr>
            </w:pPr>
          </w:p>
        </w:tc>
      </w:tr>
    </w:tbl>
    <w:p w14:paraId="79095A63" w14:textId="77777777" w:rsidR="006A6BEF" w:rsidRDefault="006A6BEF">
      <w:pPr>
        <w:spacing w:before="60" w:line="227" w:lineRule="auto"/>
        <w:rPr>
          <w:rFonts w:ascii="Noto Sans" w:eastAsia="Noto Sans" w:hAnsi="Noto Sans" w:cs="Noto Sans"/>
          <w:b/>
          <w:bCs/>
          <w:color w:val="434343"/>
          <w:sz w:val="16"/>
          <w:szCs w:val="16"/>
          <w:u w:val="single"/>
        </w:rPr>
      </w:pPr>
    </w:p>
    <w:p w14:paraId="76DD8A7D" w14:textId="77777777" w:rsidR="006A6BEF" w:rsidRDefault="00000000">
      <w:pPr>
        <w:spacing w:before="60" w:line="227" w:lineRule="auto"/>
        <w:rPr>
          <w:rFonts w:ascii="Noto Sans" w:eastAsia="Noto Sans" w:hAnsi="Noto Sans" w:cs="Noto Sans"/>
          <w:b/>
          <w:bCs/>
          <w:color w:val="434343"/>
          <w:sz w:val="24"/>
          <w:szCs w:val="24"/>
        </w:rPr>
      </w:pPr>
      <w:bookmarkStart w:id="2" w:name="_heading=h.jl9wcspk0s3k" w:colFirst="0" w:colLast="0"/>
      <w:bookmarkEnd w:id="2"/>
      <w:r>
        <w:rPr>
          <w:rFonts w:ascii="Noto Sans" w:eastAsia="Noto Sans" w:hAnsi="Noto Sans" w:cs="Noto Sans"/>
          <w:b/>
          <w:bCs/>
          <w:color w:val="434343"/>
          <w:sz w:val="24"/>
          <w:szCs w:val="24"/>
        </w:rPr>
        <w:t>Reporting:</w:t>
      </w:r>
    </w:p>
    <w:p w14:paraId="2C16C76F" w14:textId="77777777" w:rsidR="006A6BEF" w:rsidRDefault="00000000">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00EDC811" w14:textId="77777777" w:rsidR="006A6BEF" w:rsidRDefault="00000000">
      <w:pPr>
        <w:spacing w:line="227" w:lineRule="auto"/>
        <w:ind w:left="460"/>
        <w:rPr>
          <w:rFonts w:ascii="Noto Sans" w:eastAsia="Noto Sans" w:hAnsi="Noto Sans" w:cs="Noto Sans"/>
          <w:b/>
          <w:bCs/>
          <w:color w:val="434343"/>
          <w:sz w:val="18"/>
          <w:szCs w:val="18"/>
        </w:rPr>
      </w:pPr>
      <w:r>
        <w:rPr>
          <w:rFonts w:ascii="Noto Sans" w:eastAsia="Noto Sans" w:hAnsi="Noto Sans" w:cs="Noto Sans"/>
          <w:b/>
          <w:bCs/>
          <w:color w:val="434343"/>
          <w:sz w:val="18"/>
          <w:szCs w:val="18"/>
        </w:rPr>
        <w:t xml:space="preserve"> </w:t>
      </w:r>
    </w:p>
    <w:tbl>
      <w:tblPr>
        <w:tblStyle w:val="a2"/>
        <w:tblW w:w="9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6A6BEF" w14:paraId="4917B2A1"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D20E661"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232E58A"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59CBD51" w14:textId="77777777" w:rsidR="006A6BEF" w:rsidRDefault="00000000">
            <w:pPr>
              <w:spacing w:line="225" w:lineRule="auto"/>
              <w:rPr>
                <w:rFonts w:ascii="Noto Sans" w:eastAsia="Noto Sans" w:hAnsi="Noto Sans" w:cs="Noto Sans"/>
                <w:b/>
                <w:bCs/>
                <w:color w:val="434343"/>
                <w:sz w:val="18"/>
                <w:szCs w:val="18"/>
              </w:rPr>
            </w:pPr>
            <w:r>
              <w:rPr>
                <w:rFonts w:ascii="Noto Sans" w:eastAsia="Noto Sans" w:hAnsi="Noto Sans" w:cs="Noto Sans"/>
                <w:b/>
                <w:bCs/>
                <w:color w:val="434343"/>
                <w:sz w:val="18"/>
                <w:szCs w:val="18"/>
              </w:rPr>
              <w:t>N/A</w:t>
            </w:r>
          </w:p>
        </w:tc>
      </w:tr>
      <w:tr w:rsidR="006A6BEF" w14:paraId="6BED5E5F" w14:textId="77777777">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2C9B0A" w14:textId="77777777" w:rsidR="006A6BEF" w:rsidRDefault="00000000">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23448C3A"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p w14:paraId="17C44C63" w14:textId="77777777" w:rsidR="006A6BEF" w:rsidRDefault="006A6BEF">
            <w:pPr>
              <w:spacing w:line="225" w:lineRule="auto"/>
              <w:rPr>
                <w:rFonts w:ascii="Noto Sans" w:eastAsia="Noto Sans" w:hAnsi="Noto Sans" w:cs="Noto Sans"/>
                <w:color w:val="434343"/>
                <w:sz w:val="18"/>
                <w:szCs w:val="18"/>
              </w:rPr>
            </w:pPr>
          </w:p>
          <w:p w14:paraId="60B33819"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No discipline-specific reporting guideline (e.g., CONSORT, PRISMA, ARRIVE, or STRANGE) was applicable. The study follows standard reporting practices for genomic sequencing analyses using publicly available software and ENCODE-recommended quality assessment procedures.</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567BF185" w14:textId="77777777" w:rsidR="006A6BEF" w:rsidRDefault="00000000">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N/A</w:t>
            </w:r>
          </w:p>
        </w:tc>
      </w:tr>
    </w:tbl>
    <w:p w14:paraId="0C4A414D" w14:textId="77777777" w:rsidR="006A6BEF" w:rsidRDefault="006A6BEF">
      <w:pPr>
        <w:spacing w:line="227" w:lineRule="auto"/>
        <w:rPr>
          <w:rFonts w:ascii="Noto Sans" w:eastAsia="Noto Sans" w:hAnsi="Noto Sans" w:cs="Noto Sans"/>
          <w:b/>
          <w:bCs/>
          <w:color w:val="434343"/>
          <w:sz w:val="18"/>
          <w:szCs w:val="18"/>
        </w:rPr>
      </w:pPr>
    </w:p>
    <w:p w14:paraId="17B7D1E9" w14:textId="77777777" w:rsidR="006A6BEF" w:rsidRDefault="003E0380">
      <w:pPr>
        <w:spacing w:before="80"/>
      </w:pPr>
      <w:bookmarkStart w:id="3" w:name="_heading=h.7y99ka31dj38" w:colFirst="0" w:colLast="0"/>
      <w:bookmarkEnd w:id="3"/>
      <w:r>
        <w:rPr>
          <w:noProof/>
        </w:rPr>
        <w:pict w14:anchorId="6DA36F27">
          <v:rect id="_x0000_i1025" alt="" style="width:468pt;height:.05pt;mso-width-percent:0;mso-height-percent:0;mso-width-percent:0;mso-height-percent:0" o:hralign="center" o:hrstd="t" o:hr="t" fillcolor="#a0a0a0" stroked="f"/>
        </w:pict>
      </w:r>
    </w:p>
    <w:p w14:paraId="01FC8E32" w14:textId="77777777" w:rsidR="006A6BEF" w:rsidRDefault="006A6BEF"/>
    <w:p w14:paraId="50E7D0A1" w14:textId="77777777" w:rsidR="006A6BEF" w:rsidRDefault="00000000">
      <w:pPr>
        <w:rPr>
          <w:color w:val="FF0000"/>
        </w:rPr>
      </w:pPr>
      <w:r>
        <w:t xml:space="preserve">* We provide the following guidance regarding transparent reporting and statistics; we also refer authors to </w:t>
      </w:r>
      <w:hyperlink r:id="rId16">
        <w:r>
          <w:rPr>
            <w:color w:val="1155CC"/>
            <w:u w:val="single"/>
          </w:rPr>
          <w:t>Ten common statistical mistakes to watch out for when writing or reviewing a manuscript</w:t>
        </w:r>
      </w:hyperlink>
      <w:r>
        <w:t>.</w:t>
      </w:r>
    </w:p>
    <w:p w14:paraId="683BA0BB" w14:textId="77777777" w:rsidR="006A6BEF" w:rsidRDefault="006A6BEF"/>
    <w:p w14:paraId="52921A85" w14:textId="77777777" w:rsidR="006A6BEF" w:rsidRDefault="00000000">
      <w:pPr>
        <w:rPr>
          <w:b/>
          <w:bCs/>
        </w:rPr>
      </w:pPr>
      <w:r>
        <w:rPr>
          <w:b/>
          <w:bCs/>
        </w:rPr>
        <w:t>Sample-size estimation</w:t>
      </w:r>
    </w:p>
    <w:p w14:paraId="4A10526F" w14:textId="77777777" w:rsidR="006A6BEF" w:rsidRDefault="00000000">
      <w:pPr>
        <w:numPr>
          <w:ilvl w:val="0"/>
          <w:numId w:val="1"/>
        </w:numPr>
      </w:pPr>
      <w:r>
        <w:t>You should state whether an appropriate sample size was computed when the study was being designed</w:t>
      </w:r>
    </w:p>
    <w:p w14:paraId="6F37384D" w14:textId="77777777" w:rsidR="006A6BEF" w:rsidRDefault="00000000">
      <w:pPr>
        <w:numPr>
          <w:ilvl w:val="0"/>
          <w:numId w:val="1"/>
        </w:numPr>
      </w:pPr>
      <w:r>
        <w:t>You should state the statistical method of sample size computation and any required assumptions</w:t>
      </w:r>
    </w:p>
    <w:p w14:paraId="3477C2DB" w14:textId="77777777" w:rsidR="006A6BEF" w:rsidRDefault="00000000">
      <w:pPr>
        <w:numPr>
          <w:ilvl w:val="0"/>
          <w:numId w:val="1"/>
        </w:numPr>
      </w:pPr>
      <w:r>
        <w:t>If no explicit power analysis was used, you should describe how you decided what sample (replicate) size (number) to use</w:t>
      </w:r>
    </w:p>
    <w:p w14:paraId="717B2026" w14:textId="77777777" w:rsidR="006A6BEF" w:rsidRDefault="006A6BEF"/>
    <w:p w14:paraId="1B8D54C8" w14:textId="77777777" w:rsidR="006A6BEF" w:rsidRDefault="00000000">
      <w:pPr>
        <w:rPr>
          <w:b/>
          <w:bCs/>
        </w:rPr>
      </w:pPr>
      <w:r>
        <w:rPr>
          <w:b/>
          <w:bCs/>
        </w:rPr>
        <w:t>Replicates</w:t>
      </w:r>
    </w:p>
    <w:p w14:paraId="17FA439E" w14:textId="77777777" w:rsidR="006A6BEF" w:rsidRDefault="00000000">
      <w:pPr>
        <w:numPr>
          <w:ilvl w:val="0"/>
          <w:numId w:val="3"/>
        </w:numPr>
      </w:pPr>
      <w:r>
        <w:t>You should report how often each experiment was performed</w:t>
      </w:r>
    </w:p>
    <w:p w14:paraId="7700B865" w14:textId="77777777" w:rsidR="006A6BEF" w:rsidRDefault="00000000">
      <w:pPr>
        <w:numPr>
          <w:ilvl w:val="0"/>
          <w:numId w:val="3"/>
        </w:numPr>
      </w:pPr>
      <w:r>
        <w:t>You should include a definition of biological versus technical replication</w:t>
      </w:r>
    </w:p>
    <w:p w14:paraId="71AEFD24" w14:textId="77777777" w:rsidR="006A6BEF" w:rsidRDefault="00000000">
      <w:pPr>
        <w:numPr>
          <w:ilvl w:val="0"/>
          <w:numId w:val="3"/>
        </w:numPr>
      </w:pPr>
      <w:r>
        <w:t>The data obtained should be provided and sufficient information should be provided to indicate the number of independent biological and/or technical replicates</w:t>
      </w:r>
    </w:p>
    <w:p w14:paraId="6132310F" w14:textId="77777777" w:rsidR="006A6BEF" w:rsidRDefault="00000000">
      <w:pPr>
        <w:numPr>
          <w:ilvl w:val="0"/>
          <w:numId w:val="3"/>
        </w:numPr>
      </w:pPr>
      <w:r>
        <w:t>If you encountered any outliers, you should describe how these were handled</w:t>
      </w:r>
    </w:p>
    <w:p w14:paraId="5D90E457" w14:textId="77777777" w:rsidR="006A6BEF" w:rsidRDefault="00000000">
      <w:pPr>
        <w:numPr>
          <w:ilvl w:val="0"/>
          <w:numId w:val="3"/>
        </w:numPr>
      </w:pPr>
      <w:r>
        <w:t>Criteria for exclusion/inclusion of data should be clearly stated</w:t>
      </w:r>
    </w:p>
    <w:p w14:paraId="1A94B9EB" w14:textId="77777777" w:rsidR="006A6BEF" w:rsidRDefault="00000000">
      <w:pPr>
        <w:numPr>
          <w:ilvl w:val="0"/>
          <w:numId w:val="3"/>
        </w:numPr>
      </w:pPr>
      <w:r>
        <w:t>High-throughput sequence data should be uploaded before submission, with a private link for reviewers provided (these are available from both GEO and ArrayExpress)</w:t>
      </w:r>
    </w:p>
    <w:p w14:paraId="56AD3DD1" w14:textId="77777777" w:rsidR="006A6BEF" w:rsidRDefault="006A6BEF"/>
    <w:p w14:paraId="4F2965C6" w14:textId="77777777" w:rsidR="006A6BEF" w:rsidRDefault="00000000">
      <w:pPr>
        <w:rPr>
          <w:b/>
          <w:bCs/>
        </w:rPr>
      </w:pPr>
      <w:r>
        <w:rPr>
          <w:b/>
          <w:bCs/>
        </w:rPr>
        <w:t>Statistical reporting</w:t>
      </w:r>
    </w:p>
    <w:p w14:paraId="02323786" w14:textId="77777777" w:rsidR="006A6BEF" w:rsidRDefault="00000000">
      <w:pPr>
        <w:numPr>
          <w:ilvl w:val="0"/>
          <w:numId w:val="2"/>
        </w:numPr>
      </w:pPr>
      <w:r>
        <w:t>Statistical analysis methods should be described and justified</w:t>
      </w:r>
    </w:p>
    <w:p w14:paraId="5B88B3F2" w14:textId="77777777" w:rsidR="006A6BEF" w:rsidRDefault="00000000">
      <w:pPr>
        <w:numPr>
          <w:ilvl w:val="0"/>
          <w:numId w:val="2"/>
        </w:numPr>
      </w:pPr>
      <w:r>
        <w:t>Raw data should be presented in figures whenever informative to do so (typically when N per group is less than 10)</w:t>
      </w:r>
    </w:p>
    <w:p w14:paraId="266C2176" w14:textId="77777777" w:rsidR="006A6BEF" w:rsidRDefault="00000000">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1D4C6E7B" w14:textId="77777777" w:rsidR="006A6BEF" w:rsidRDefault="00000000">
      <w:pPr>
        <w:numPr>
          <w:ilvl w:val="0"/>
          <w:numId w:val="2"/>
        </w:numPr>
      </w:pPr>
      <w:r>
        <w:t>Report exact p-values wherever possible alongside the summary statistics and 95% confidence intervals. These should be reported for all key questions and not only when the p-value is less than 0.05.</w:t>
      </w:r>
    </w:p>
    <w:p w14:paraId="18372A85" w14:textId="77777777" w:rsidR="006A6BEF" w:rsidRDefault="006A6BEF"/>
    <w:p w14:paraId="1766EEE2" w14:textId="77777777" w:rsidR="006A6BEF" w:rsidRDefault="00000000">
      <w:pPr>
        <w:rPr>
          <w:b/>
          <w:bCs/>
        </w:rPr>
      </w:pPr>
      <w:r>
        <w:rPr>
          <w:b/>
          <w:bCs/>
        </w:rPr>
        <w:t>Group allocation</w:t>
      </w:r>
    </w:p>
    <w:p w14:paraId="62E72147" w14:textId="77777777" w:rsidR="006A6BEF" w:rsidRDefault="00000000">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57F47E14" w14:textId="77777777" w:rsidR="006A6BEF" w:rsidRDefault="00000000">
      <w:pPr>
        <w:numPr>
          <w:ilvl w:val="0"/>
          <w:numId w:val="4"/>
        </w:numPr>
      </w:pPr>
      <w:r>
        <w:t>Indicate if masking was used during group allocation, data collection and/or data analysis</w:t>
      </w:r>
    </w:p>
    <w:sectPr w:rsidR="006A6BEF">
      <w:headerReference w:type="default" r:id="rId17"/>
      <w:footerReference w:type="default" r:id="rId18"/>
      <w:headerReference w:type="first" r:id="rId19"/>
      <w:pgSz w:w="11910" w:h="16840"/>
      <w:pgMar w:top="1360" w:right="1220" w:bottom="280" w:left="10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2F6D4" w14:textId="77777777" w:rsidR="003E0380" w:rsidRDefault="003E0380">
      <w:r>
        <w:separator/>
      </w:r>
    </w:p>
  </w:endnote>
  <w:endnote w:type="continuationSeparator" w:id="0">
    <w:p w14:paraId="7232BC1B" w14:textId="77777777" w:rsidR="003E0380" w:rsidRDefault="003E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291EB7C-E9BC-5C48-85E4-E0A18F659493}"/>
  </w:font>
  <w:font w:name="Calibri">
    <w:panose1 w:val="020F0502020204030204"/>
    <w:charset w:val="00"/>
    <w:family w:val="swiss"/>
    <w:pitch w:val="variable"/>
    <w:sig w:usb0="E0002AFF" w:usb1="C000247B" w:usb2="00000009" w:usb3="00000000" w:csb0="000001FF" w:csb1="00000000"/>
    <w:embedRegular r:id="rId2" w:fontKey="{4C159A53-32CB-A14C-9D6C-70A48DE2B4D7}"/>
    <w:embedBold r:id="rId3" w:fontKey="{4DE8314E-D80C-8443-8446-6281FFACA8E2}"/>
  </w:font>
  <w:font w:name="Georgia">
    <w:panose1 w:val="02040502050405020303"/>
    <w:charset w:val="00"/>
    <w:family w:val="roman"/>
    <w:pitch w:val="variable"/>
    <w:sig w:usb0="00000287" w:usb1="00000000" w:usb2="00000000" w:usb3="00000000" w:csb0="0000009F" w:csb1="00000000"/>
    <w:embedItalic r:id="rId4" w:fontKey="{6D511C91-A538-F347-AB3A-8CF5F971F058}"/>
  </w:font>
  <w:font w:name="Noto Sans">
    <w:panose1 w:val="020B0502040504020204"/>
    <w:charset w:val="00"/>
    <w:family w:val="swiss"/>
    <w:pitch w:val="variable"/>
    <w:sig w:usb0="E00082FF" w:usb1="400078FF" w:usb2="00000021" w:usb3="00000000" w:csb0="0000019F" w:csb1="00000000"/>
    <w:embedRegular r:id="rId5" w:fontKey="{5321CC58-F3C1-904D-8F8A-AAD07E32A370}"/>
    <w:embedBold r:id="rId6" w:fontKey="{48970911-9D58-A84E-9BC2-61D51352DC30}"/>
    <w:embedItalic r:id="rId7" w:fontKey="{15241264-4087-104B-850E-8B18A870C206}"/>
  </w:font>
  <w:font w:name="Cambria">
    <w:panose1 w:val="02040503050406030204"/>
    <w:charset w:val="00"/>
    <w:family w:val="roman"/>
    <w:notTrueType/>
    <w:pitch w:val="default"/>
    <w:embedRegular r:id="rId8" w:fontKey="{CE998582-5136-804B-B737-9706128C90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F46A2" w14:textId="1BABD89B" w:rsidR="006A6BEF"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E01CFA">
      <w:rPr>
        <w:noProof/>
        <w:color w:val="000000"/>
      </w:rPr>
      <w:t>2</w:t>
    </w:r>
    <w:r>
      <w:rPr>
        <w:color w:val="000000"/>
      </w:rPr>
      <w:fldChar w:fldCharType="end"/>
    </w:r>
  </w:p>
  <w:p w14:paraId="00159B35" w14:textId="77777777" w:rsidR="006A6BEF" w:rsidRDefault="006A6BE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192A0" w14:textId="77777777" w:rsidR="003E0380" w:rsidRDefault="003E0380">
      <w:r>
        <w:separator/>
      </w:r>
    </w:p>
  </w:footnote>
  <w:footnote w:type="continuationSeparator" w:id="0">
    <w:p w14:paraId="5D0AEBA6" w14:textId="77777777" w:rsidR="003E0380" w:rsidRDefault="003E0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C936B" w14:textId="77777777" w:rsidR="006A6BEF" w:rsidRDefault="006A6BE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5697" w14:textId="77777777" w:rsidR="006A6BEF" w:rsidRDefault="00000000">
    <w:pPr>
      <w:pBdr>
        <w:top w:val="nil"/>
        <w:left w:val="nil"/>
        <w:bottom w:val="nil"/>
        <w:right w:val="nil"/>
        <w:between w:val="nil"/>
      </w:pBdr>
      <w:tabs>
        <w:tab w:val="center" w:pos="4513"/>
        <w:tab w:val="right" w:pos="9026"/>
      </w:tabs>
      <w:rPr>
        <w:color w:val="000000"/>
      </w:rPr>
    </w:pPr>
    <w:r>
      <w:rPr>
        <w:noProof/>
        <w:color w:val="000000"/>
      </w:rPr>
      <w:drawing>
        <wp:inline distT="19050" distB="19050" distL="19050" distR="19050" wp14:anchorId="542DF858" wp14:editId="029D264F">
          <wp:extent cx="1295400" cy="447675"/>
          <wp:effectExtent l="0" t="0" r="0" b="0"/>
          <wp:docPr id="1" name="image1.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9621B"/>
    <w:multiLevelType w:val="multilevel"/>
    <w:tmpl w:val="C2165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624470D"/>
    <w:multiLevelType w:val="multilevel"/>
    <w:tmpl w:val="EEBA1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64775DD"/>
    <w:multiLevelType w:val="multilevel"/>
    <w:tmpl w:val="039E1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82461BD"/>
    <w:multiLevelType w:val="multilevel"/>
    <w:tmpl w:val="D0282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2249860">
    <w:abstractNumId w:val="1"/>
  </w:num>
  <w:num w:numId="2" w16cid:durableId="511845446">
    <w:abstractNumId w:val="3"/>
  </w:num>
  <w:num w:numId="3" w16cid:durableId="585922474">
    <w:abstractNumId w:val="2"/>
  </w:num>
  <w:num w:numId="4" w16cid:durableId="666439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38"/>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BEF"/>
    <w:rsid w:val="003E0380"/>
    <w:rsid w:val="004A4CC1"/>
    <w:rsid w:val="006A6BEF"/>
    <w:rsid w:val="00E01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BBCD9"/>
  <w15:docId w15:val="{01F5AF6F-ACFB-7C40-83FA-4EBE4FDFC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sf.io/xfpn4/" TargetMode="External"/><Relationship Id="rId13" Type="http://schemas.openxmlformats.org/officeDocument/2006/relationships/hyperlink" Target="https://reviewer.elifesciences.org/author-guide/journal-polici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38/d41586-020-01751-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7554/eLife.4817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osbiology.org/article/info:doi/10.1371/journal.pbio.1000412" TargetMode="External"/><Relationship Id="rId5" Type="http://schemas.openxmlformats.org/officeDocument/2006/relationships/webSettings" Target="webSettings.xml"/><Relationship Id="rId15" Type="http://schemas.openxmlformats.org/officeDocument/2006/relationships/hyperlink" Target="https://scicrunch.org/resources" TargetMode="External"/><Relationship Id="rId10" Type="http://schemas.openxmlformats.org/officeDocument/2006/relationships/hyperlink" Target="http://biosharing.or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quator-network.org/%20" TargetMode="External"/><Relationship Id="rId14" Type="http://schemas.openxmlformats.org/officeDocument/2006/relationships/hyperlink" Target="https://scicrunch.org/resourc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UBV5sPQClQr5VzEp++lUsG5Ng==">CgMxLjAyDmguZGYxbTFnYm0zenBuMg5oLmEyZDRuM2Q5NDRiMTIOaC5qbDl3Y3NwazBzM2syDmguN3k5OWthMzFkajM4OAByITFVX212dUhUUHg3U3FxR3I5LWVWY2V0YkpUN3JtUUY5Tg==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2415</Words>
  <Characters>13772</Characters>
  <Application>Microsoft Office Word</Application>
  <DocSecurity>0</DocSecurity>
  <Lines>114</Lines>
  <Paragraphs>32</Paragraphs>
  <ScaleCrop>false</ScaleCrop>
  <Company/>
  <LinksUpToDate>false</LinksUpToDate>
  <CharactersWithSpaces>16155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Hank W Bass</cp:lastModifiedBy>
  <cp:revision>2</cp:revision>
  <dcterms:created xsi:type="dcterms:W3CDTF">2026-07-22T19:48:00Z</dcterms:created>
  <dcterms:modified xsi:type="dcterms:W3CDTF">2026-07-22T19:48:00Z</dcterms:modified>
</cp:coreProperties>
</file>