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03" w:rsidRDefault="00DE4803" w:rsidP="00DE4803">
      <w:pPr>
        <w:pStyle w:val="Heading2"/>
      </w:pPr>
      <w:r>
        <w:t>Supplementary File 3</w:t>
      </w:r>
      <w:bookmarkStart w:id="0" w:name="_GoBack"/>
      <w:bookmarkEnd w:id="0"/>
      <w:r w:rsidRPr="00156A2A">
        <w:t xml:space="preserve">. </w:t>
      </w:r>
      <w:r>
        <w:t xml:space="preserve"> </w:t>
      </w:r>
      <w:r w:rsidRPr="00FD425A">
        <w:t>Average values for different stages and experimental conditions</w:t>
      </w:r>
    </w:p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400"/>
        <w:gridCol w:w="1148"/>
        <w:gridCol w:w="630"/>
        <w:gridCol w:w="1170"/>
        <w:gridCol w:w="1170"/>
        <w:gridCol w:w="1170"/>
        <w:gridCol w:w="1170"/>
        <w:gridCol w:w="450"/>
        <w:gridCol w:w="450"/>
        <w:gridCol w:w="1350"/>
        <w:gridCol w:w="450"/>
      </w:tblGrid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gridSpan w:val="2"/>
            <w:vAlign w:val="bottom"/>
          </w:tcPr>
          <w:p w:rsidR="00DE4803" w:rsidRPr="0031247B" w:rsidDel="00905D4F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0" w:type="dxa"/>
            <w:gridSpan w:val="6"/>
            <w:vAlign w:val="bottom"/>
          </w:tcPr>
          <w:p w:rsidR="00DE4803" w:rsidRDefault="00DE4803" w:rsidP="00DD2847">
            <w:pPr>
              <w:widowControl w:val="0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naïve</w:t>
            </w:r>
            <w:proofErr w:type="gramEnd"/>
          </w:p>
        </w:tc>
        <w:tc>
          <w:tcPr>
            <w:tcW w:w="1800" w:type="dxa"/>
            <w:gridSpan w:val="2"/>
            <w:vAlign w:val="bottom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Stimulated</w:t>
            </w:r>
          </w:p>
        </w:tc>
      </w:tr>
      <w:tr w:rsidR="00DE4803" w:rsidTr="00DD2847">
        <w:tc>
          <w:tcPr>
            <w:tcW w:w="400" w:type="dxa"/>
            <w:vAlign w:val="center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N</w:t>
            </w:r>
          </w:p>
        </w:tc>
        <w:tc>
          <w:tcPr>
            <w:tcW w:w="1778" w:type="dxa"/>
            <w:gridSpan w:val="2"/>
            <w:vAlign w:val="center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Name, units</w:t>
            </w:r>
          </w:p>
        </w:tc>
        <w:tc>
          <w:tcPr>
            <w:tcW w:w="1170" w:type="dxa"/>
            <w:vAlign w:val="center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Stage 43-44</w:t>
            </w:r>
          </w:p>
        </w:tc>
        <w:tc>
          <w:tcPr>
            <w:tcW w:w="1170" w:type="dxa"/>
            <w:vAlign w:val="center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Stage 45-46</w:t>
            </w:r>
          </w:p>
        </w:tc>
        <w:tc>
          <w:tcPr>
            <w:tcW w:w="1170" w:type="dxa"/>
            <w:vAlign w:val="center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Stage 47</w:t>
            </w:r>
          </w:p>
        </w:tc>
        <w:tc>
          <w:tcPr>
            <w:tcW w:w="1170" w:type="dxa"/>
            <w:vAlign w:val="center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Stage 48-49</w:t>
            </w:r>
          </w:p>
        </w:tc>
        <w:tc>
          <w:tcPr>
            <w:tcW w:w="450" w:type="dxa"/>
            <w:vAlign w:val="center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6A2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</w:t>
            </w: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d</w:t>
            </w:r>
            <w:proofErr w:type="spellEnd"/>
            <w:proofErr w:type="gramEnd"/>
          </w:p>
        </w:tc>
        <w:tc>
          <w:tcPr>
            <w:tcW w:w="450" w:type="dxa"/>
          </w:tcPr>
          <w:p w:rsidR="00DE4803" w:rsidRPr="00156A2A" w:rsidRDefault="00DE4803" w:rsidP="00DD2847">
            <w:pPr>
              <w:widowControl w:val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pv</w:t>
            </w:r>
            <w:proofErr w:type="spellEnd"/>
            <w:proofErr w:type="gramEnd"/>
          </w:p>
        </w:tc>
        <w:tc>
          <w:tcPr>
            <w:tcW w:w="1350" w:type="dxa"/>
            <w:vAlign w:val="center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Stage 48-49</w:t>
            </w:r>
          </w:p>
        </w:tc>
        <w:tc>
          <w:tcPr>
            <w:tcW w:w="450" w:type="dxa"/>
            <w:vAlign w:val="center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6A2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ps</w:t>
            </w:r>
            <w:proofErr w:type="spellEnd"/>
            <w:proofErr w:type="gramEnd"/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Cm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pF</w:t>
            </w:r>
            <w:proofErr w:type="gramEnd"/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14.0 ± 1.9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15.7 ± 3.1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i/>
                <w:sz w:val="18"/>
                <w:szCs w:val="18"/>
              </w:rPr>
            </w:pPr>
            <w:r w:rsidRPr="00156A2A">
              <w:rPr>
                <w:rFonts w:ascii="Calibri" w:hAnsi="Calibri"/>
                <w:i/>
                <w:color w:val="000000"/>
                <w:sz w:val="18"/>
                <w:szCs w:val="18"/>
              </w:rPr>
              <w:t xml:space="preserve"> 15.7 ± 2.7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13.6 ± 4.5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..</w:t>
            </w:r>
            <w:proofErr w:type="gramEnd"/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Calibri" w:hAnsi="Calibri"/>
                <w:color w:val="000000"/>
                <w:sz w:val="18"/>
                <w:szCs w:val="18"/>
              </w:rPr>
              <w:t>..</w:t>
            </w:r>
            <w:proofErr w:type="gramEnd"/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11.6 ± 4.9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..</w:t>
            </w:r>
            <w:proofErr w:type="gramEnd"/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proofErr w:type="spell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Rm</w:t>
            </w:r>
            <w:proofErr w:type="spellEnd"/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G</w:t>
            </w: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Ω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1.0 ± 0.2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1.2 ± 0.6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1.2 ± 0.4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1.3 ± 0.7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1.3 ± 1.1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Ra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</w:t>
            </w: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Ω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45.7 ± 15.2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54.0 ± 15.8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57.9 ± 24.1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53.7 ± 30.2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44.0 ± 23.7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I hold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pA</w:t>
            </w:r>
            <w:proofErr w:type="gramEnd"/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20.3 ± 12.9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14.9 ± 10.5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11.1 ± 12.1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17.9 ± 16.5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29.4 ± 20.2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*</w:t>
            </w: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Na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activation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mV</w:t>
            </w:r>
            <w:proofErr w:type="gramEnd"/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−</w:t>
            </w: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22.6 ± 5.6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−</w:t>
            </w: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22.1 ± 6.4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−</w:t>
            </w: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17.3 ± 4.0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−</w:t>
            </w: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19.0 ± 6.0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−</w:t>
            </w: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18.8 ± 7.2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48" w:type="dxa"/>
          </w:tcPr>
          <w:p w:rsidR="00DE4803" w:rsidRDefault="00DE4803" w:rsidP="00DD2847">
            <w:pPr>
              <w:widowControl w:val="0"/>
              <w:rPr>
                <w:rFonts w:asciiTheme="majorHAnsi" w:eastAsiaTheme="majorEastAsia" w:hAnsiTheme="majorHAnsi" w:cstheme="majorBidi"/>
                <w:color w:val="404040" w:themeColor="text1" w:themeTint="BF"/>
                <w:sz w:val="18"/>
                <w:szCs w:val="18"/>
              </w:rPr>
            </w:pPr>
            <w:proofErr w:type="spell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I</w:t>
            </w:r>
            <w:r w:rsidRPr="00781095">
              <w:rPr>
                <w:rFonts w:ascii="Calibri" w:hAnsi="Calibri"/>
                <w:color w:val="000000"/>
                <w:sz w:val="18"/>
                <w:szCs w:val="18"/>
                <w:vertAlign w:val="subscript"/>
              </w:rPr>
              <w:t>Na</w:t>
            </w:r>
            <w:proofErr w:type="spellEnd"/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pA</w:t>
            </w:r>
            <w:proofErr w:type="gramEnd"/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403 ± 160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458 ± 165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488 ± 228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386 ± 284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351 ± 168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KS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activation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mV</w:t>
            </w:r>
            <w:proofErr w:type="gramEnd"/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−</w:t>
            </w: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21.8 ± 7.7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−</w:t>
            </w: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19.0 ± 5.9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−</w:t>
            </w: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16.4 ± 5.8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−</w:t>
            </w: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19.4 ± 6.7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−</w:t>
            </w: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18.5 ± 8.4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48" w:type="dxa"/>
          </w:tcPr>
          <w:p w:rsidR="00DE4803" w:rsidRDefault="00DE4803" w:rsidP="00DD2847">
            <w:pPr>
              <w:widowControl w:val="0"/>
              <w:rPr>
                <w:rFonts w:asciiTheme="majorHAnsi" w:eastAsiaTheme="majorEastAsia" w:hAnsiTheme="majorHAnsi" w:cstheme="majorBidi"/>
                <w:color w:val="404040" w:themeColor="text1" w:themeTint="BF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I</w:t>
            </w:r>
            <w:r w:rsidRPr="00781095">
              <w:rPr>
                <w:rFonts w:ascii="Calibri" w:hAnsi="Calibri"/>
                <w:color w:val="000000"/>
                <w:sz w:val="18"/>
                <w:szCs w:val="18"/>
                <w:vertAlign w:val="subscript"/>
              </w:rPr>
              <w:t>KS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pA</w:t>
            </w:r>
            <w:proofErr w:type="gramEnd"/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535 ± 203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494 ± 182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502 ± 201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603 ± 344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539 ± 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KT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activation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mV</w:t>
            </w:r>
            <w:proofErr w:type="gramEnd"/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−</w:t>
            </w: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23.6 ± 3.8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−</w:t>
            </w: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18.0 ± 10.0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−</w:t>
            </w: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15.2 ± 4.2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−</w:t>
            </w: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11.5 ± 15.0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−</w:t>
            </w: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14.8 ± 9.0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48" w:type="dxa"/>
          </w:tcPr>
          <w:p w:rsidR="00DE4803" w:rsidRDefault="00DE4803" w:rsidP="00DD2847">
            <w:pPr>
              <w:widowControl w:val="0"/>
              <w:rPr>
                <w:rFonts w:asciiTheme="majorHAnsi" w:eastAsiaTheme="majorEastAsia" w:hAnsiTheme="majorHAnsi" w:cstheme="majorBidi"/>
                <w:color w:val="404040" w:themeColor="text1" w:themeTint="BF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I</w:t>
            </w:r>
            <w:r w:rsidRPr="00781095">
              <w:rPr>
                <w:rFonts w:ascii="Calibri" w:hAnsi="Calibri"/>
                <w:color w:val="000000"/>
                <w:sz w:val="18"/>
                <w:szCs w:val="18"/>
                <w:vertAlign w:val="subscript"/>
              </w:rPr>
              <w:t>KT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pA</w:t>
            </w:r>
            <w:proofErr w:type="gramEnd"/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172 ±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167 ±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241 ± 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144 ± 88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147 ± 80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Tail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proofErr w:type="spellStart"/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ms</w:t>
            </w:r>
            <w:proofErr w:type="spellEnd"/>
            <w:proofErr w:type="gramEnd"/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44.1 ± 11.3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38.4 ± 12.8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40.1 ± 15.4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42.1 ± 20.6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43.7 ± 18.6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Spike threshold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mV</w:t>
            </w:r>
            <w:proofErr w:type="gramEnd"/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−</w:t>
            </w: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18.7 ± 6.4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−</w:t>
            </w: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25.8 ± 7.1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−</w:t>
            </w: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25.9 ± 6.7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−</w:t>
            </w: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25.2 ± 8.1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−</w:t>
            </w: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19.8 ± 5.3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**</w:t>
            </w: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Spike amplitude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mV</w:t>
            </w:r>
            <w:proofErr w:type="gramEnd"/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14.5 ± 6.8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20.0 ± 8.8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21.4 ± 10.1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20.3 ± 12.0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28.3 ± 14.0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*</w:t>
            </w: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Spike rise-time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proofErr w:type="spellStart"/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ms</w:t>
            </w:r>
            <w:proofErr w:type="spellEnd"/>
            <w:proofErr w:type="gramEnd"/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2.4 ± 1.8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1.5 ± 0.9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1.1 ± 0.5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1.5 ± 0.9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1.3 ± 0.8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Spike width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proofErr w:type="spellStart"/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ms</w:t>
            </w:r>
            <w:proofErr w:type="spellEnd"/>
            <w:proofErr w:type="gramEnd"/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5.4 ± 2.1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4.2 ± 2.3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2.7 ± 1.9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3.9 ± 2.5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3.4 ± 2.4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I best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pA</w:t>
            </w:r>
            <w:proofErr w:type="gramEnd"/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100.6 ± 53.4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112.7 ± 51.6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146.9 ± 42.9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125.2 ± 52.3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108.8 ± 49.4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N spikes, step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n</w:t>
            </w:r>
            <w:proofErr w:type="gramEnd"/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2.3 ± 0.8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3.9 ± 2.6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6.7 ± 3.6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4.6 ± 3.3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7.1 ± 4.7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..</w:t>
            </w:r>
            <w:proofErr w:type="gramEnd"/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Spike ISI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proofErr w:type="spellStart"/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ms</w:t>
            </w:r>
            <w:proofErr w:type="spellEnd"/>
            <w:proofErr w:type="gramEnd"/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16.0 ± 6.6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14.9 ± 6.4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12.2 ± 5.4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13.1 ± 5.6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13.9 ± 6.7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Spike ISI </w:t>
            </w:r>
            <w:proofErr w:type="spell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accomm</w:t>
            </w:r>
            <w:proofErr w:type="spellEnd"/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1.1 ± 0.3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1.1 ± 0.3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1.0 ± 0.2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1.1 ± 0.2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1.1 ± 0.3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Spike </w:t>
            </w:r>
            <w:proofErr w:type="spell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accomm</w:t>
            </w:r>
            <w:proofErr w:type="spellEnd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2.2 ± 0.8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2.4 ± 1.3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1.8 ± 0.9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2.5 ± 1.5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2.4 ± 1.2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N spikes, cosine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n</w:t>
            </w:r>
            <w:proofErr w:type="gramEnd"/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0.3 ± 0.2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0.7 ± 0.3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1.1 ± 0.3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0.8 ± 0.5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0.9 ± 0.5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Spiking resonance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proofErr w:type="spellStart"/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ms</w:t>
            </w:r>
            <w:proofErr w:type="spellEnd"/>
            <w:proofErr w:type="gramEnd"/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47.7 ± 5.6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43.9 ± 8.1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40.2 ± 11.9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40.9 ± 11.3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42.7 ± 10.8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Spiking resonance width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pA</w:t>
            </w:r>
            <w:proofErr w:type="gramEnd"/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50.3 ± 36.4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41.8 ± 44.8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62.8 ± 62.9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61.2 ± 56.6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77.0 ± 56.8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Wave buildup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n</w:t>
            </w:r>
            <w:proofErr w:type="gramEnd"/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10.0 ± 5.6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9.2 ± 5.8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10.1 ± 6.8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10.1 ± 5.8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7.4 ± 5.3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..</w:t>
            </w:r>
            <w:proofErr w:type="gramEnd"/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25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Wave decay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n</w:t>
            </w:r>
            <w:proofErr w:type="gramEnd"/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19.3 ± 60.0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8.3 ± 24.4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37.1 ± 55.1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67.6 ± 83.1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81.1 ± 89.2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Jitter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0.2 ± 0.1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0.1 ± 0.1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0.1 ± 0.0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0.1 ± 0.1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0.1 ± 0.1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Synaptic resonance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proofErr w:type="spellStart"/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ms</w:t>
            </w:r>
            <w:proofErr w:type="spellEnd"/>
            <w:proofErr w:type="gramEnd"/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23.1 ± 27.6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75.6 ± 89.8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52.3 ± 75.4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30.7 ± 58.4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20.4 ± 22.1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4803" w:rsidTr="00DD2847">
        <w:tc>
          <w:tcPr>
            <w:tcW w:w="400" w:type="dxa"/>
          </w:tcPr>
          <w:p w:rsidR="00DE4803" w:rsidRPr="00156A2A" w:rsidRDefault="00DE4803" w:rsidP="00DD2847">
            <w:pPr>
              <w:widowControl w:val="0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Synaptic resonance width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ms</w:t>
            </w:r>
            <w:proofErr w:type="spellEnd"/>
            <w:proofErr w:type="gramEnd"/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47.2 ± 57.5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124.1 ± 100.6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75.0 ± 76.6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66.3 ± 59.8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81.3 ± 87.2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Synaptic charge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  <w:sz w:val="18"/>
                <w:szCs w:val="18"/>
              </w:rPr>
              <w:t>nA</w:t>
            </w:r>
            <w:proofErr w:type="gramEnd"/>
            <w:r>
              <w:rPr>
                <w:rFonts w:ascii="Calibri" w:hAnsi="Calibri"/>
                <w:color w:val="000000"/>
                <w:sz w:val="18"/>
                <w:szCs w:val="18"/>
              </w:rPr>
              <w:t>·s</w:t>
            </w:r>
            <w:proofErr w:type="spellEnd"/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11.2 ± 3.8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13.1 ± 11.7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20.5 ± 24.0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20.0 ± 21.0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26.3 ± 22.4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Synaptic PPF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2.2 ± 1.3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2.0 ± 1.2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2.2 ± 1.2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3.0 ± 1.9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2.6 ± 2.1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Monosynapticity</w:t>
            </w:r>
            <w:proofErr w:type="spellEnd"/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2.5 ± 1.3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3.6 ± 3.5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2.1 ± 1.2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3.2 ± 2.7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2.9 ± 3.7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Minis frequency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Hz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3.4 ± 2.3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4.1 ± 3.4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6.5 ± 3.8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5.1 ± 6.3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Calibri" w:hAnsi="Calibri"/>
                <w:color w:val="000000"/>
                <w:sz w:val="18"/>
                <w:szCs w:val="18"/>
              </w:rPr>
              <w:t>..</w:t>
            </w:r>
            <w:proofErr w:type="gramEnd"/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3.2 ± 2.4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4803" w:rsidTr="00DD2847">
        <w:tc>
          <w:tcPr>
            <w:tcW w:w="400" w:type="dxa"/>
          </w:tcPr>
          <w:p w:rsidR="00DE4803" w:rsidRPr="0031247B" w:rsidRDefault="00DE4803" w:rsidP="00DD2847">
            <w:pPr>
              <w:widowControl w:val="0"/>
              <w:spacing w:after="200" w:line="276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148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Minis amplitude</w:t>
            </w:r>
          </w:p>
        </w:tc>
        <w:tc>
          <w:tcPr>
            <w:tcW w:w="630" w:type="dxa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proofErr w:type="gramStart"/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pA</w:t>
            </w:r>
            <w:proofErr w:type="gramEnd"/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4.1 ± 1.1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5.2 ± 1.4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5.5 ± 3.2</w:t>
            </w:r>
          </w:p>
        </w:tc>
        <w:tc>
          <w:tcPr>
            <w:tcW w:w="117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 xml:space="preserve"> 4.6 ± 1.9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vAlign w:val="bottom"/>
          </w:tcPr>
          <w:p w:rsidR="00DE4803" w:rsidRDefault="00DE4803" w:rsidP="00DD2847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Align w:val="bottom"/>
          </w:tcPr>
          <w:p w:rsidR="00DE4803" w:rsidRPr="00156A2A" w:rsidRDefault="00DE4803" w:rsidP="00DD2847">
            <w:pPr>
              <w:widowControl w:val="0"/>
              <w:rPr>
                <w:sz w:val="18"/>
                <w:szCs w:val="18"/>
              </w:rPr>
            </w:pPr>
            <w:r w:rsidRPr="00156A2A">
              <w:rPr>
                <w:rFonts w:ascii="Calibri" w:hAnsi="Calibri"/>
                <w:color w:val="000000"/>
                <w:sz w:val="18"/>
                <w:szCs w:val="18"/>
              </w:rPr>
              <w:t>4.1 ± 1.3</w:t>
            </w:r>
          </w:p>
        </w:tc>
        <w:tc>
          <w:tcPr>
            <w:tcW w:w="450" w:type="dxa"/>
            <w:vAlign w:val="bottom"/>
          </w:tcPr>
          <w:p w:rsidR="00DE4803" w:rsidRPr="00156A2A" w:rsidRDefault="00DE4803" w:rsidP="00DD284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</w:tbl>
    <w:p w:rsidR="00DE4803" w:rsidRDefault="00DE4803" w:rsidP="00DE4803">
      <w:pPr>
        <w:widowControl w:val="0"/>
        <w:spacing w:after="240"/>
        <w:rPr>
          <w:sz w:val="20"/>
        </w:rPr>
      </w:pPr>
    </w:p>
    <w:p w:rsidR="00DE4803" w:rsidRDefault="00DE4803" w:rsidP="00DE4803">
      <w:pPr>
        <w:widowControl w:val="0"/>
        <w:spacing w:after="240"/>
        <w:rPr>
          <w:sz w:val="20"/>
        </w:rPr>
      </w:pPr>
      <w:r>
        <w:rPr>
          <w:sz w:val="20"/>
        </w:rPr>
        <w:t>Key:</w:t>
      </w:r>
    </w:p>
    <w:p w:rsidR="00DE4803" w:rsidRDefault="00DE4803" w:rsidP="00DE4803">
      <w:pPr>
        <w:widowControl w:val="0"/>
        <w:spacing w:after="240"/>
        <w:rPr>
          <w:sz w:val="20"/>
        </w:rPr>
      </w:pPr>
      <w:proofErr w:type="spellStart"/>
      <w:proofErr w:type="gramStart"/>
      <w:r w:rsidRPr="00C848B8">
        <w:rPr>
          <w:b/>
          <w:sz w:val="20"/>
        </w:rPr>
        <w:t>p</w:t>
      </w:r>
      <w:r>
        <w:rPr>
          <w:b/>
          <w:sz w:val="20"/>
        </w:rPr>
        <w:t>d</w:t>
      </w:r>
      <w:proofErr w:type="spellEnd"/>
      <w:proofErr w:type="gramEnd"/>
      <w:r>
        <w:rPr>
          <w:sz w:val="20"/>
        </w:rPr>
        <w:t xml:space="preserve">: </w:t>
      </w:r>
      <w:r w:rsidRPr="00781095">
        <w:rPr>
          <w:i/>
          <w:sz w:val="20"/>
        </w:rPr>
        <w:t>P</w:t>
      </w:r>
      <w:r>
        <w:rPr>
          <w:sz w:val="20"/>
        </w:rPr>
        <w:t>-value for changes in cell parameters over development, calculated as ANOVA test over developmental stages grouped as shown in the table (stages 43-44, 45-46, 47, and 48-49); not corrected for multiple comparisons.</w:t>
      </w:r>
    </w:p>
    <w:p w:rsidR="00DE4803" w:rsidRPr="00A856E7" w:rsidRDefault="00DE4803" w:rsidP="00DE4803">
      <w:pPr>
        <w:widowControl w:val="0"/>
        <w:spacing w:after="240"/>
        <w:rPr>
          <w:sz w:val="20"/>
        </w:rPr>
      </w:pPr>
      <w:proofErr w:type="spellStart"/>
      <w:proofErr w:type="gramStart"/>
      <w:r>
        <w:rPr>
          <w:b/>
          <w:sz w:val="20"/>
        </w:rPr>
        <w:t>pv</w:t>
      </w:r>
      <w:proofErr w:type="spellEnd"/>
      <w:proofErr w:type="gramEnd"/>
      <w:r>
        <w:rPr>
          <w:sz w:val="20"/>
        </w:rPr>
        <w:t xml:space="preserve">: </w:t>
      </w:r>
      <w:r w:rsidRPr="00781095">
        <w:rPr>
          <w:i/>
          <w:sz w:val="20"/>
        </w:rPr>
        <w:t>P</w:t>
      </w:r>
      <w:r>
        <w:rPr>
          <w:sz w:val="20"/>
        </w:rPr>
        <w:t xml:space="preserve">-value for changes in </w:t>
      </w:r>
      <w:r w:rsidRPr="00A856E7">
        <w:rPr>
          <w:sz w:val="20"/>
        </w:rPr>
        <w:t>cell variability between stages 45-46 and 48-49 (F-test for the inequality of variances).</w:t>
      </w:r>
    </w:p>
    <w:p w:rsidR="00DE4803" w:rsidRPr="00A856E7" w:rsidRDefault="00DE4803" w:rsidP="00DE4803">
      <w:pPr>
        <w:widowControl w:val="0"/>
        <w:spacing w:after="240"/>
        <w:rPr>
          <w:sz w:val="20"/>
        </w:rPr>
      </w:pPr>
      <w:proofErr w:type="spellStart"/>
      <w:proofErr w:type="gramStart"/>
      <w:r>
        <w:rPr>
          <w:b/>
          <w:sz w:val="20"/>
        </w:rPr>
        <w:t>ps</w:t>
      </w:r>
      <w:proofErr w:type="spellEnd"/>
      <w:proofErr w:type="gramEnd"/>
      <w:r>
        <w:rPr>
          <w:sz w:val="20"/>
        </w:rPr>
        <w:t xml:space="preserve">: </w:t>
      </w:r>
      <w:r w:rsidRPr="00781095">
        <w:rPr>
          <w:i/>
          <w:sz w:val="20"/>
        </w:rPr>
        <w:t>P</w:t>
      </w:r>
      <w:r w:rsidRPr="00A856E7">
        <w:rPr>
          <w:sz w:val="20"/>
        </w:rPr>
        <w:t>-value for changes between naïve and stimulated cells from stage 48-49 tad</w:t>
      </w:r>
      <w:r>
        <w:rPr>
          <w:sz w:val="20"/>
        </w:rPr>
        <w:t>poles (</w:t>
      </w:r>
      <w:r w:rsidRPr="00781095">
        <w:rPr>
          <w:i/>
          <w:sz w:val="20"/>
        </w:rPr>
        <w:t>P</w:t>
      </w:r>
      <w:r w:rsidRPr="00A856E7">
        <w:rPr>
          <w:sz w:val="20"/>
          <w:vertAlign w:val="subscript"/>
        </w:rPr>
        <w:t>MW</w:t>
      </w:r>
      <w:r>
        <w:rPr>
          <w:sz w:val="20"/>
        </w:rPr>
        <w:t>).</w:t>
      </w:r>
    </w:p>
    <w:p w:rsidR="00DE4803" w:rsidRPr="00C848B8" w:rsidRDefault="00DE4803" w:rsidP="00DE4803">
      <w:pPr>
        <w:widowControl w:val="0"/>
        <w:spacing w:after="240"/>
        <w:rPr>
          <w:sz w:val="20"/>
        </w:rPr>
      </w:pPr>
      <w:r w:rsidRPr="00781095">
        <w:rPr>
          <w:i/>
          <w:sz w:val="20"/>
        </w:rPr>
        <w:t>P</w:t>
      </w:r>
      <w:r w:rsidRPr="00A856E7">
        <w:rPr>
          <w:sz w:val="20"/>
        </w:rPr>
        <w:t xml:space="preserve">-values key: ** &lt; 0.001, </w:t>
      </w:r>
      <w:r>
        <w:rPr>
          <w:sz w:val="20"/>
        </w:rPr>
        <w:t>* &lt; 0.005</w:t>
      </w:r>
      <w:proofErr w:type="gramStart"/>
      <w:r>
        <w:rPr>
          <w:sz w:val="20"/>
        </w:rPr>
        <w:t>, ..</w:t>
      </w:r>
      <w:proofErr w:type="gramEnd"/>
      <w:r>
        <w:rPr>
          <w:sz w:val="20"/>
        </w:rPr>
        <w:t xml:space="preserve"> &lt; 0.01</w:t>
      </w:r>
      <w:proofErr w:type="gramStart"/>
      <w:r>
        <w:rPr>
          <w:sz w:val="20"/>
        </w:rPr>
        <w:t>, .</w:t>
      </w:r>
      <w:proofErr w:type="gramEnd"/>
      <w:r>
        <w:rPr>
          <w:sz w:val="20"/>
        </w:rPr>
        <w:t xml:space="preserve"> &lt; 0.05. Not adjusted for multiple comparisons.</w:t>
      </w:r>
    </w:p>
    <w:p w:rsidR="00DE4803" w:rsidRDefault="00DE4803" w:rsidP="00DE4803">
      <w:pPr>
        <w:widowControl w:val="0"/>
        <w:spacing w:after="240"/>
        <w:rPr>
          <w:sz w:val="20"/>
        </w:rPr>
      </w:pPr>
    </w:p>
    <w:p w:rsidR="00A95155" w:rsidRDefault="00A95155"/>
    <w:sectPr w:rsidR="00A95155" w:rsidSect="00BE7B2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803" w:rsidRDefault="00DE4803" w:rsidP="00DE4803">
      <w:pPr>
        <w:spacing w:after="0"/>
      </w:pPr>
      <w:r>
        <w:separator/>
      </w:r>
    </w:p>
  </w:endnote>
  <w:endnote w:type="continuationSeparator" w:id="0">
    <w:p w:rsidR="00DE4803" w:rsidRDefault="00DE4803" w:rsidP="00DE48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803" w:rsidRDefault="00DE4803" w:rsidP="00DE4803">
      <w:pPr>
        <w:spacing w:after="0"/>
      </w:pPr>
      <w:r>
        <w:separator/>
      </w:r>
    </w:p>
  </w:footnote>
  <w:footnote w:type="continuationSeparator" w:id="0">
    <w:p w:rsidR="00DE4803" w:rsidRDefault="00DE4803" w:rsidP="00DE480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803" w:rsidRDefault="00DE4803" w:rsidP="00DE4803">
    <w:pPr>
      <w:pStyle w:val="Header"/>
    </w:pPr>
    <w:proofErr w:type="spellStart"/>
    <w:r>
      <w:t>Ciarleglio</w:t>
    </w:r>
    <w:proofErr w:type="spellEnd"/>
    <w:r>
      <w:t xml:space="preserve"> and Khakhalin et al. 2015</w:t>
    </w:r>
  </w:p>
  <w:p w:rsidR="00DE4803" w:rsidRDefault="00DE48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803"/>
    <w:rsid w:val="00A95155"/>
    <w:rsid w:val="00DE4803"/>
    <w:rsid w:val="00F2158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FB055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803"/>
    <w:rPr>
      <w:rFonts w:eastAsiaTheme="minorHAnsi"/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4803"/>
    <w:pPr>
      <w:keepNext/>
      <w:keepLines/>
      <w:spacing w:before="200" w:after="1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E4803"/>
    <w:rPr>
      <w:rFonts w:eastAsiaTheme="majorEastAsia" w:cstheme="majorBidi"/>
      <w:b/>
      <w:bCs/>
      <w:sz w:val="22"/>
      <w:szCs w:val="26"/>
      <w:lang w:eastAsia="en-US"/>
    </w:rPr>
  </w:style>
  <w:style w:type="table" w:styleId="TableGrid">
    <w:name w:val="Table Grid"/>
    <w:basedOn w:val="TableNormal"/>
    <w:uiPriority w:val="59"/>
    <w:rsid w:val="00DE4803"/>
    <w:pPr>
      <w:spacing w:after="0"/>
    </w:pPr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E480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E4803"/>
    <w:rPr>
      <w:rFonts w:eastAsiaTheme="minorHAns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E480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E4803"/>
    <w:rPr>
      <w:rFonts w:eastAsia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803"/>
    <w:rPr>
      <w:rFonts w:eastAsiaTheme="minorHAnsi"/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4803"/>
    <w:pPr>
      <w:keepNext/>
      <w:keepLines/>
      <w:spacing w:before="200" w:after="1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E4803"/>
    <w:rPr>
      <w:rFonts w:eastAsiaTheme="majorEastAsia" w:cstheme="majorBidi"/>
      <w:b/>
      <w:bCs/>
      <w:sz w:val="22"/>
      <w:szCs w:val="26"/>
      <w:lang w:eastAsia="en-US"/>
    </w:rPr>
  </w:style>
  <w:style w:type="table" w:styleId="TableGrid">
    <w:name w:val="Table Grid"/>
    <w:basedOn w:val="TableNormal"/>
    <w:uiPriority w:val="59"/>
    <w:rsid w:val="00DE4803"/>
    <w:pPr>
      <w:spacing w:after="0"/>
    </w:pPr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E480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E4803"/>
    <w:rPr>
      <w:rFonts w:eastAsiaTheme="minorHAns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E480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E4803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504</Words>
  <Characters>2875</Characters>
  <Application>Microsoft Macintosh Word</Application>
  <DocSecurity>0</DocSecurity>
  <Lines>23</Lines>
  <Paragraphs>6</Paragraphs>
  <ScaleCrop>false</ScaleCrop>
  <Company>Brown University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</dc:creator>
  <cp:keywords/>
  <dc:description/>
  <cp:lastModifiedBy>CAS</cp:lastModifiedBy>
  <cp:revision>1</cp:revision>
  <dcterms:created xsi:type="dcterms:W3CDTF">2015-11-09T16:11:00Z</dcterms:created>
  <dcterms:modified xsi:type="dcterms:W3CDTF">2015-11-09T16:14:00Z</dcterms:modified>
</cp:coreProperties>
</file>