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E7B89" w14:textId="77777777" w:rsidR="0061332F" w:rsidRDefault="0061332F"/>
    <w:tbl>
      <w:tblPr>
        <w:tblStyle w:val="TableGrid"/>
        <w:tblpPr w:leftFromText="180" w:rightFromText="180" w:horzAnchor="margin" w:tblpXSpec="center" w:tblpY="599"/>
        <w:tblW w:w="5000" w:type="pct"/>
        <w:tblLook w:val="04A0" w:firstRow="1" w:lastRow="0" w:firstColumn="1" w:lastColumn="0" w:noHBand="0" w:noVBand="1"/>
      </w:tblPr>
      <w:tblGrid>
        <w:gridCol w:w="2204"/>
        <w:gridCol w:w="1084"/>
        <w:gridCol w:w="1058"/>
        <w:gridCol w:w="1180"/>
        <w:gridCol w:w="1643"/>
        <w:gridCol w:w="1237"/>
        <w:gridCol w:w="1216"/>
      </w:tblGrid>
      <w:tr w:rsidR="0061332F" w14:paraId="2FF77B1E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  <w:tl2br w:val="single" w:sz="4" w:space="0" w:color="auto"/>
            </w:tcBorders>
          </w:tcPr>
          <w:p w14:paraId="7C8631CC" w14:textId="77777777" w:rsidR="0061332F" w:rsidRPr="0061332F" w:rsidRDefault="00DC6B38" w:rsidP="004E5A93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547C3E7" wp14:editId="7D332132">
                      <wp:simplePos x="0" y="0"/>
                      <wp:positionH relativeFrom="column">
                        <wp:posOffset>-102438</wp:posOffset>
                      </wp:positionH>
                      <wp:positionV relativeFrom="paragraph">
                        <wp:posOffset>-11100</wp:posOffset>
                      </wp:positionV>
                      <wp:extent cx="1492301" cy="768096"/>
                      <wp:effectExtent l="0" t="0" r="12700" b="1333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2301" cy="7680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-8.05pt;margin-top:-.85pt;width:117.5pt;height:6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" fillcolor="#bfbfbf [2412]" strokecolor="white [3212]" strokeweight="2pt"/>
                  </w:pict>
                </mc:Fallback>
              </mc:AlternateContent>
            </w:r>
            <w:r w:rsidR="0061332F" w:rsidRPr="0061332F">
              <w:rPr>
                <w:sz w:val="24"/>
                <w:szCs w:val="24"/>
              </w:rPr>
              <w:t xml:space="preserve">                 </w:t>
            </w:r>
            <w:r w:rsidR="0061332F" w:rsidRPr="0061332F">
              <w:rPr>
                <w:b/>
                <w:sz w:val="24"/>
                <w:szCs w:val="24"/>
              </w:rPr>
              <w:t xml:space="preserve">Previous  </w:t>
            </w:r>
          </w:p>
          <w:p w14:paraId="43316934" w14:textId="77777777" w:rsidR="0061332F" w:rsidRPr="0061332F" w:rsidRDefault="0061332F" w:rsidP="004E5A93">
            <w:pPr>
              <w:rPr>
                <w:sz w:val="24"/>
                <w:szCs w:val="24"/>
              </w:rPr>
            </w:pPr>
          </w:p>
          <w:p w14:paraId="599DC0BD" w14:textId="77777777" w:rsidR="004E5A93" w:rsidRPr="0061332F" w:rsidRDefault="0061332F" w:rsidP="004E5A93">
            <w:pPr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Categories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3F7EC21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1332F">
              <w:rPr>
                <w:b/>
                <w:sz w:val="24"/>
                <w:szCs w:val="24"/>
              </w:rPr>
              <w:t>BioGrid</w:t>
            </w:r>
            <w:proofErr w:type="spellEnd"/>
          </w:p>
          <w:p w14:paraId="292A5CD2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(163)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937ABEB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1332F">
              <w:rPr>
                <w:b/>
                <w:sz w:val="24"/>
                <w:szCs w:val="24"/>
              </w:rPr>
              <w:t>NESdb</w:t>
            </w:r>
            <w:proofErr w:type="spellEnd"/>
          </w:p>
          <w:p w14:paraId="47CB4916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Human</w:t>
            </w:r>
          </w:p>
          <w:p w14:paraId="5CBFAE5A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(135)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9098F9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1332F">
              <w:rPr>
                <w:b/>
                <w:sz w:val="24"/>
                <w:szCs w:val="24"/>
              </w:rPr>
              <w:t>NESdb</w:t>
            </w:r>
            <w:proofErr w:type="spellEnd"/>
          </w:p>
          <w:p w14:paraId="06495FFA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In doubt</w:t>
            </w:r>
          </w:p>
          <w:p w14:paraId="47F3B34A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(16)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3203EF" w14:textId="77777777" w:rsidR="004E5A93" w:rsidRPr="0061332F" w:rsidRDefault="004E5A93" w:rsidP="004E5A9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61332F">
              <w:rPr>
                <w:b/>
                <w:sz w:val="24"/>
                <w:szCs w:val="24"/>
              </w:rPr>
              <w:t>Thakar</w:t>
            </w:r>
            <w:proofErr w:type="spellEnd"/>
            <w:r w:rsidRPr="0061332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1332F">
              <w:rPr>
                <w:b/>
                <w:sz w:val="24"/>
                <w:szCs w:val="24"/>
              </w:rPr>
              <w:t>Karaca</w:t>
            </w:r>
            <w:proofErr w:type="spellEnd"/>
            <w:r w:rsidRPr="0061332F">
              <w:rPr>
                <w:b/>
                <w:sz w:val="24"/>
                <w:szCs w:val="24"/>
              </w:rPr>
              <w:t xml:space="preserve"> </w:t>
            </w:r>
            <w:r w:rsidRPr="0061332F">
              <w:rPr>
                <w:b/>
                <w:i/>
                <w:sz w:val="24"/>
                <w:szCs w:val="24"/>
              </w:rPr>
              <w:t>et al.</w:t>
            </w:r>
            <w:r w:rsidR="0061332F" w:rsidRPr="0061332F">
              <w:rPr>
                <w:b/>
                <w:i/>
                <w:sz w:val="24"/>
                <w:szCs w:val="24"/>
              </w:rPr>
              <w:t xml:space="preserve"> </w:t>
            </w:r>
            <w:r w:rsidR="0061332F" w:rsidRPr="0061332F">
              <w:rPr>
                <w:b/>
                <w:sz w:val="24"/>
                <w:szCs w:val="24"/>
              </w:rPr>
              <w:t>2013</w:t>
            </w:r>
            <w:r w:rsidRPr="0061332F">
              <w:rPr>
                <w:b/>
                <w:i/>
                <w:sz w:val="24"/>
                <w:szCs w:val="24"/>
              </w:rPr>
              <w:t>,</w:t>
            </w:r>
          </w:p>
          <w:p w14:paraId="78CDD0CC" w14:textId="77777777" w:rsidR="0061332F" w:rsidRPr="0061332F" w:rsidRDefault="0061332F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(143)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AD00E62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Combined</w:t>
            </w:r>
          </w:p>
          <w:p w14:paraId="6AC48B35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Previous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11D66A5" w14:textId="77777777" w:rsidR="004E5A93" w:rsidRPr="0061332F" w:rsidRDefault="004E5A93" w:rsidP="004E5A93">
            <w:pPr>
              <w:jc w:val="center"/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Not in any database</w:t>
            </w:r>
          </w:p>
        </w:tc>
      </w:tr>
      <w:tr w:rsidR="0061332F" w14:paraId="4120C72E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43B0A0F" w14:textId="77777777" w:rsidR="004E5A93" w:rsidRPr="0061332F" w:rsidRDefault="004E5A93" w:rsidP="004E5A93">
            <w:pPr>
              <w:rPr>
                <w:b/>
                <w:color w:val="168300"/>
                <w:sz w:val="24"/>
                <w:szCs w:val="24"/>
              </w:rPr>
            </w:pPr>
            <w:r w:rsidRPr="0061332F">
              <w:rPr>
                <w:b/>
                <w:color w:val="168300"/>
                <w:sz w:val="24"/>
                <w:szCs w:val="24"/>
              </w:rPr>
              <w:t>Cargo A (543)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FDCB53" w14:textId="77777777" w:rsidR="004E5A93" w:rsidRDefault="004E5A93" w:rsidP="004E5A93">
            <w:pPr>
              <w:jc w:val="center"/>
            </w:pPr>
            <w:r>
              <w:t>14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6DFBE1" w14:textId="77777777" w:rsidR="004E5A93" w:rsidRDefault="004E5A93" w:rsidP="004E5A93">
            <w:pPr>
              <w:jc w:val="center"/>
            </w:pPr>
            <w:r>
              <w:t>23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64C093" w14:textId="77777777" w:rsidR="004E5A93" w:rsidRDefault="004E5A93" w:rsidP="004E5A93">
            <w:pPr>
              <w:jc w:val="center"/>
            </w:pPr>
            <w:r>
              <w:t>1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03CBF6F" w14:textId="77777777" w:rsidR="004E5A93" w:rsidRDefault="004E5A93" w:rsidP="004E5A93">
            <w:pPr>
              <w:jc w:val="center"/>
            </w:pPr>
            <w:r>
              <w:t>30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589053A" w14:textId="77777777" w:rsidR="004E5A93" w:rsidRDefault="004E5A93" w:rsidP="004E5A93">
            <w:pPr>
              <w:jc w:val="center"/>
            </w:pPr>
            <w:r>
              <w:t>57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49A5E4E" w14:textId="77777777" w:rsidR="004E5A93" w:rsidRDefault="004E5A93" w:rsidP="004E5A93">
            <w:pPr>
              <w:jc w:val="center"/>
            </w:pPr>
            <w:r>
              <w:t>486</w:t>
            </w:r>
          </w:p>
        </w:tc>
      </w:tr>
      <w:tr w:rsidR="0061332F" w14:paraId="68E4BD10" w14:textId="77777777" w:rsidTr="00DC6B38">
        <w:trPr>
          <w:trHeight w:val="701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185F852" w14:textId="77777777" w:rsidR="004E5A93" w:rsidRPr="0061332F" w:rsidRDefault="004E5A93" w:rsidP="004E5A93">
            <w:pPr>
              <w:rPr>
                <w:b/>
                <w:color w:val="2EC503"/>
                <w:sz w:val="24"/>
                <w:szCs w:val="24"/>
              </w:rPr>
            </w:pPr>
            <w:r w:rsidRPr="0061332F">
              <w:rPr>
                <w:b/>
                <w:color w:val="2EC503"/>
                <w:sz w:val="24"/>
                <w:szCs w:val="24"/>
              </w:rPr>
              <w:t>Cargo B (288)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9415A4" w14:textId="77777777" w:rsidR="004E5A93" w:rsidRDefault="004E5A93" w:rsidP="004E5A93">
            <w:pPr>
              <w:jc w:val="center"/>
            </w:pPr>
            <w:r>
              <w:t>7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0F02BA" w14:textId="77777777" w:rsidR="004E5A93" w:rsidRDefault="004E5A93" w:rsidP="004E5A93">
            <w:pPr>
              <w:jc w:val="center"/>
            </w:pPr>
            <w:r>
              <w:t>12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9E884B8" w14:textId="77777777" w:rsidR="004E5A93" w:rsidRDefault="004E5A93" w:rsidP="004E5A93">
            <w:pPr>
              <w:jc w:val="center"/>
            </w:pPr>
            <w:r>
              <w:t>2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8385718" w14:textId="77777777" w:rsidR="004E5A93" w:rsidRDefault="004E5A93" w:rsidP="004E5A93">
            <w:pPr>
              <w:jc w:val="center"/>
            </w:pPr>
            <w:r>
              <w:t>17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471FBCE" w14:textId="77777777" w:rsidR="004E5A93" w:rsidRDefault="004E5A93" w:rsidP="004E5A93">
            <w:pPr>
              <w:jc w:val="center"/>
            </w:pPr>
            <w:r>
              <w:t>31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D5B745" w14:textId="77777777" w:rsidR="004E5A93" w:rsidRDefault="004E5A93" w:rsidP="004E5A93">
            <w:pPr>
              <w:jc w:val="center"/>
            </w:pPr>
            <w:r>
              <w:t>247</w:t>
            </w:r>
          </w:p>
        </w:tc>
      </w:tr>
      <w:tr w:rsidR="0061332F" w14:paraId="0449088E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A35F757" w14:textId="77777777" w:rsidR="004E5A93" w:rsidRPr="0061332F" w:rsidRDefault="004E5A93" w:rsidP="004E5A93">
            <w:pPr>
              <w:rPr>
                <w:b/>
                <w:color w:val="5FFF57"/>
                <w:sz w:val="24"/>
                <w:szCs w:val="24"/>
              </w:rPr>
            </w:pPr>
            <w:r w:rsidRPr="0061332F">
              <w:rPr>
                <w:b/>
                <w:color w:val="5FFF57"/>
                <w:sz w:val="24"/>
                <w:szCs w:val="24"/>
              </w:rPr>
              <w:t>Cargo C-low ab. (239)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35E86FD" w14:textId="77777777" w:rsidR="004E5A93" w:rsidRDefault="004E5A93" w:rsidP="004E5A93">
            <w:pPr>
              <w:jc w:val="center"/>
            </w:pPr>
            <w:r>
              <w:t>1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6D9592" w14:textId="77777777" w:rsidR="004E5A93" w:rsidRDefault="004E5A93" w:rsidP="004E5A93">
            <w:pPr>
              <w:jc w:val="center"/>
            </w:pPr>
            <w:r>
              <w:t>6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30FA6AD" w14:textId="77777777" w:rsidR="004E5A93" w:rsidRDefault="004E5A93" w:rsidP="004E5A93">
            <w:pPr>
              <w:jc w:val="center"/>
            </w:pPr>
            <w:r>
              <w:t>1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7A343B" w14:textId="77777777" w:rsidR="004E5A93" w:rsidRDefault="004E5A93" w:rsidP="004E5A93">
            <w:pPr>
              <w:jc w:val="center"/>
            </w:pPr>
            <w:r>
              <w:t>6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D329F29" w14:textId="77777777" w:rsidR="004E5A93" w:rsidRDefault="004E5A93" w:rsidP="004E5A93">
            <w:pPr>
              <w:jc w:val="center"/>
            </w:pPr>
            <w:r>
              <w:t>12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10DF08" w14:textId="77777777" w:rsidR="004E5A93" w:rsidRDefault="004E5A93" w:rsidP="004E5A93">
            <w:pPr>
              <w:jc w:val="center"/>
            </w:pPr>
            <w:r>
              <w:t>227</w:t>
            </w:r>
          </w:p>
        </w:tc>
      </w:tr>
      <w:tr w:rsidR="0061332F" w14:paraId="32F85E69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D9F07A" w14:textId="77777777" w:rsidR="004E5A93" w:rsidRPr="0061332F" w:rsidRDefault="004E5A93" w:rsidP="004E5A93">
            <w:pPr>
              <w:rPr>
                <w:b/>
                <w:color w:val="DAD000"/>
                <w:sz w:val="24"/>
                <w:szCs w:val="24"/>
              </w:rPr>
            </w:pPr>
            <w:r w:rsidRPr="0061332F">
              <w:rPr>
                <w:b/>
                <w:color w:val="DAD000"/>
                <w:sz w:val="24"/>
                <w:szCs w:val="24"/>
              </w:rPr>
              <w:t>Ambiguous (2419)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EB3756" w14:textId="77777777" w:rsidR="004E5A93" w:rsidRDefault="004E5A93" w:rsidP="004E5A93">
            <w:pPr>
              <w:jc w:val="center"/>
            </w:pPr>
            <w:r>
              <w:t>51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1B6AEDE" w14:textId="77777777" w:rsidR="004E5A93" w:rsidRDefault="004E5A93" w:rsidP="004E5A93">
            <w:pPr>
              <w:jc w:val="center"/>
            </w:pPr>
            <w:r>
              <w:t>22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5F4AAC" w14:textId="77777777" w:rsidR="004E5A93" w:rsidRDefault="004E5A93" w:rsidP="004E5A93">
            <w:pPr>
              <w:jc w:val="center"/>
            </w:pPr>
            <w:r>
              <w:t>2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C08207" w14:textId="77777777" w:rsidR="004E5A93" w:rsidRDefault="004E5A93" w:rsidP="004E5A93">
            <w:pPr>
              <w:jc w:val="center"/>
            </w:pPr>
            <w:r>
              <w:t>54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648FC58" w14:textId="77777777" w:rsidR="004E5A93" w:rsidRDefault="004E5A93" w:rsidP="004E5A93">
            <w:pPr>
              <w:jc w:val="center"/>
            </w:pPr>
            <w:r>
              <w:t>125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9057F7C" w14:textId="77777777" w:rsidR="004E5A93" w:rsidRDefault="004E5A93" w:rsidP="004E5A93">
            <w:pPr>
              <w:jc w:val="center"/>
            </w:pPr>
            <w:r>
              <w:t>2294</w:t>
            </w:r>
          </w:p>
        </w:tc>
      </w:tr>
      <w:tr w:rsidR="0061332F" w14:paraId="0A2A2CA8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4ABBFB" w14:textId="77777777" w:rsidR="004E5A93" w:rsidRPr="0061332F" w:rsidRDefault="004E5A93" w:rsidP="004E5A93">
            <w:pPr>
              <w:rPr>
                <w:b/>
                <w:color w:val="DA6249"/>
                <w:sz w:val="24"/>
                <w:szCs w:val="24"/>
              </w:rPr>
            </w:pPr>
            <w:r w:rsidRPr="0061332F">
              <w:rPr>
                <w:b/>
                <w:color w:val="DA6249"/>
                <w:sz w:val="24"/>
                <w:szCs w:val="24"/>
              </w:rPr>
              <w:t>Non-binder (880)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71A8438" w14:textId="77777777" w:rsidR="004E5A93" w:rsidRDefault="004E5A93" w:rsidP="004E5A93">
            <w:pPr>
              <w:jc w:val="center"/>
            </w:pPr>
            <w:r>
              <w:t>19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F4F31E3" w14:textId="77777777" w:rsidR="004E5A93" w:rsidRDefault="004E5A93" w:rsidP="004E5A93">
            <w:pPr>
              <w:jc w:val="center"/>
            </w:pPr>
            <w:r>
              <w:t>11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398743" w14:textId="77777777" w:rsidR="004E5A93" w:rsidRDefault="004E5A93" w:rsidP="004E5A93">
            <w:pPr>
              <w:jc w:val="center"/>
            </w:pPr>
            <w:r>
              <w:t>2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06FF36" w14:textId="77777777" w:rsidR="004E5A93" w:rsidRDefault="004E5A93" w:rsidP="004E5A93">
            <w:pPr>
              <w:jc w:val="center"/>
            </w:pPr>
            <w:r>
              <w:t>4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579ADC9" w14:textId="77777777" w:rsidR="004E5A93" w:rsidRDefault="004E5A93" w:rsidP="004E5A93">
            <w:pPr>
              <w:jc w:val="center"/>
            </w:pPr>
            <w:r>
              <w:t>30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0CB28A" w14:textId="77777777" w:rsidR="004E5A93" w:rsidRDefault="004E5A93" w:rsidP="004E5A93">
            <w:pPr>
              <w:jc w:val="center"/>
            </w:pPr>
            <w:r>
              <w:t>850</w:t>
            </w:r>
          </w:p>
        </w:tc>
      </w:tr>
      <w:tr w:rsidR="0061332F" w14:paraId="318B8E61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EFFD850" w14:textId="77777777" w:rsidR="004E5A93" w:rsidRPr="0061332F" w:rsidRDefault="004E5A93" w:rsidP="004E5A93">
            <w:pPr>
              <w:rPr>
                <w:b/>
                <w:color w:val="6666FF"/>
                <w:sz w:val="24"/>
                <w:szCs w:val="24"/>
              </w:rPr>
            </w:pPr>
            <w:r w:rsidRPr="0061332F">
              <w:rPr>
                <w:b/>
                <w:color w:val="6666FF"/>
                <w:sz w:val="24"/>
                <w:szCs w:val="24"/>
              </w:rPr>
              <w:t>NTRs (19)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81A4025" w14:textId="77777777" w:rsidR="004E5A93" w:rsidRDefault="004E5A93" w:rsidP="004E5A93">
            <w:pPr>
              <w:jc w:val="center"/>
            </w:pPr>
            <w:r>
              <w:t>2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1B7F10" w14:textId="77777777" w:rsidR="004E5A93" w:rsidRDefault="004E5A93" w:rsidP="004E5A93">
            <w:pPr>
              <w:jc w:val="center"/>
            </w:pPr>
            <w:r>
              <w:t>0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E68EC9" w14:textId="77777777" w:rsidR="004E5A93" w:rsidRDefault="004E5A93" w:rsidP="004E5A93">
            <w:pPr>
              <w:jc w:val="center"/>
            </w:pPr>
            <w:r>
              <w:t>0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F00862A" w14:textId="77777777" w:rsidR="004E5A93" w:rsidRDefault="004E5A93" w:rsidP="004E5A93">
            <w:pPr>
              <w:jc w:val="center"/>
            </w:pPr>
            <w:r>
              <w:t>8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227EE99" w14:textId="77777777" w:rsidR="004E5A93" w:rsidRDefault="004E5A93" w:rsidP="004E5A93">
            <w:pPr>
              <w:jc w:val="center"/>
            </w:pPr>
            <w:r>
              <w:t>10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F9284B" w14:textId="77777777" w:rsidR="004E5A93" w:rsidRDefault="004E5A93" w:rsidP="004E5A93">
            <w:pPr>
              <w:jc w:val="center"/>
            </w:pPr>
            <w:r>
              <w:t>9</w:t>
            </w:r>
          </w:p>
        </w:tc>
      </w:tr>
      <w:tr w:rsidR="0061332F" w14:paraId="13149E63" w14:textId="77777777" w:rsidTr="00DC6B38">
        <w:trPr>
          <w:trHeight w:val="673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E1DD81" w14:textId="77777777" w:rsidR="004E5A93" w:rsidRPr="0061332F" w:rsidRDefault="004E5A93" w:rsidP="004E5A93">
            <w:pPr>
              <w:rPr>
                <w:b/>
                <w:sz w:val="24"/>
                <w:szCs w:val="24"/>
              </w:rPr>
            </w:pPr>
            <w:r w:rsidRPr="0061332F">
              <w:rPr>
                <w:b/>
                <w:color w:val="6666FF"/>
                <w:sz w:val="24"/>
                <w:szCs w:val="24"/>
              </w:rPr>
              <w:t>NUPs (20)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0FB7587" w14:textId="77777777" w:rsidR="004E5A93" w:rsidRDefault="004E5A93" w:rsidP="004E5A93">
            <w:pPr>
              <w:jc w:val="center"/>
            </w:pPr>
            <w:r>
              <w:t>5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D8A9D1" w14:textId="77777777" w:rsidR="004E5A93" w:rsidRDefault="004E5A93" w:rsidP="004E5A93">
            <w:pPr>
              <w:jc w:val="center"/>
            </w:pPr>
            <w:r>
              <w:t>0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7F76E5F" w14:textId="77777777" w:rsidR="004E5A93" w:rsidRDefault="004E5A93" w:rsidP="004E5A93">
            <w:pPr>
              <w:jc w:val="center"/>
            </w:pPr>
            <w:r>
              <w:t>0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521C3C" w14:textId="77777777" w:rsidR="004E5A93" w:rsidRDefault="004E5A93" w:rsidP="004E5A93">
            <w:pPr>
              <w:jc w:val="center"/>
            </w:pPr>
            <w:r>
              <w:t>3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B120F06" w14:textId="77777777" w:rsidR="004E5A93" w:rsidRDefault="004E5A93" w:rsidP="004E5A93">
            <w:pPr>
              <w:jc w:val="center"/>
            </w:pPr>
            <w:r>
              <w:t>7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D7423B" w14:textId="77777777" w:rsidR="004E5A93" w:rsidRDefault="004E5A93" w:rsidP="004E5A93">
            <w:pPr>
              <w:jc w:val="center"/>
            </w:pPr>
            <w:r>
              <w:t>13</w:t>
            </w:r>
          </w:p>
        </w:tc>
      </w:tr>
      <w:tr w:rsidR="0061332F" w14:paraId="35F4A560" w14:textId="77777777" w:rsidTr="00DC6B38">
        <w:trPr>
          <w:trHeight w:val="701"/>
        </w:trPr>
        <w:tc>
          <w:tcPr>
            <w:tcW w:w="114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0D0459" w14:textId="77777777" w:rsidR="0061332F" w:rsidRPr="0061332F" w:rsidRDefault="0061332F" w:rsidP="004E5A93">
            <w:pPr>
              <w:rPr>
                <w:b/>
                <w:sz w:val="24"/>
                <w:szCs w:val="24"/>
              </w:rPr>
            </w:pPr>
            <w:r w:rsidRPr="0061332F">
              <w:rPr>
                <w:b/>
                <w:sz w:val="24"/>
                <w:szCs w:val="24"/>
              </w:rPr>
              <w:t>Not Found</w:t>
            </w:r>
          </w:p>
        </w:tc>
        <w:tc>
          <w:tcPr>
            <w:tcW w:w="56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6C8FA5" w14:textId="77777777" w:rsidR="0061332F" w:rsidRDefault="0061332F" w:rsidP="004E5A93">
            <w:pPr>
              <w:jc w:val="center"/>
            </w:pPr>
            <w:r>
              <w:t>60</w:t>
            </w:r>
          </w:p>
        </w:tc>
        <w:tc>
          <w:tcPr>
            <w:tcW w:w="5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6CF6118" w14:textId="77777777" w:rsidR="0061332F" w:rsidRDefault="0061332F" w:rsidP="004E5A93">
            <w:pPr>
              <w:jc w:val="center"/>
            </w:pPr>
            <w:r>
              <w:t>60</w:t>
            </w:r>
          </w:p>
        </w:tc>
        <w:tc>
          <w:tcPr>
            <w:tcW w:w="6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CC9961" w14:textId="77777777" w:rsidR="0061332F" w:rsidRDefault="0061332F" w:rsidP="004E5A93">
            <w:pPr>
              <w:jc w:val="center"/>
            </w:pPr>
            <w:r>
              <w:t>7</w:t>
            </w:r>
          </w:p>
        </w:tc>
        <w:tc>
          <w:tcPr>
            <w:tcW w:w="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4F8E7" w14:textId="77777777" w:rsidR="0061332F" w:rsidRDefault="0061332F" w:rsidP="004E5A93">
            <w:pPr>
              <w:jc w:val="center"/>
            </w:pPr>
            <w:r>
              <w:t>19</w:t>
            </w:r>
          </w:p>
        </w:tc>
        <w:tc>
          <w:tcPr>
            <w:tcW w:w="127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56D8783" w14:textId="77777777" w:rsidR="0061332F" w:rsidRDefault="0061332F" w:rsidP="004E5A93">
            <w:pPr>
              <w:jc w:val="center"/>
            </w:pPr>
          </w:p>
        </w:tc>
      </w:tr>
    </w:tbl>
    <w:p w14:paraId="0579263A" w14:textId="77777777" w:rsidR="00D55C27" w:rsidRDefault="00D55C27"/>
    <w:p w14:paraId="13BC2417" w14:textId="77777777" w:rsidR="00C90DA0" w:rsidRPr="00F864A3" w:rsidRDefault="00C90DA0" w:rsidP="00F864A3">
      <w:pPr>
        <w:pStyle w:val="NoSpacing"/>
        <w:jc w:val="both"/>
        <w:rPr>
          <w:rFonts w:ascii="Times" w:hAnsi="Times"/>
          <w:b/>
          <w:i/>
          <w:lang w:val="en-GB"/>
        </w:rPr>
      </w:pPr>
      <w:r w:rsidRPr="00F864A3">
        <w:rPr>
          <w:rFonts w:ascii="Times" w:hAnsi="Times"/>
          <w:b/>
          <w:i/>
          <w:lang w:val="en-GB"/>
        </w:rPr>
        <w:t>Table S5</w:t>
      </w:r>
      <w:r w:rsidRPr="00F864A3">
        <w:t xml:space="preserve"> compares newly identified CRM1 cargoes from human HeLa cells with previous identifications listed in </w:t>
      </w:r>
      <w:proofErr w:type="spellStart"/>
      <w:r w:rsidRPr="00F864A3">
        <w:t>BioGrid</w:t>
      </w:r>
      <w:proofErr w:type="spellEnd"/>
      <w:r w:rsidRPr="00F864A3">
        <w:t xml:space="preserve"> </w:t>
      </w:r>
      <w:r w:rsidRPr="00F864A3">
        <w:fldChar w:fldCharType="begin"/>
      </w:r>
      <w:r w:rsidRPr="00F864A3">
        <w:instrText>ADDIN BEC{Stark et al., 2006, #58271}{Chatr-Aryamontri et al., 2015, #1695}</w:instrText>
      </w:r>
      <w:r w:rsidRPr="00F864A3">
        <w:fldChar w:fldCharType="separate"/>
      </w:r>
      <w:r w:rsidRPr="00F864A3">
        <w:t>(Stark</w:t>
      </w:r>
      <w:r w:rsidRPr="00F864A3">
        <w:rPr>
          <w:i/>
        </w:rPr>
        <w:t xml:space="preserve"> et al.</w:t>
      </w:r>
      <w:r w:rsidRPr="00F864A3">
        <w:t>, 2006; Chatr-Aryamontri</w:t>
      </w:r>
      <w:r w:rsidRPr="00F864A3">
        <w:rPr>
          <w:i/>
        </w:rPr>
        <w:t xml:space="preserve"> et al.</w:t>
      </w:r>
      <w:r w:rsidRPr="00F864A3">
        <w:t>, 2015)</w:t>
      </w:r>
      <w:r w:rsidRPr="00F864A3">
        <w:fldChar w:fldCharType="end"/>
      </w:r>
      <w:r w:rsidRPr="00F864A3">
        <w:t xml:space="preserve">, the </w:t>
      </w:r>
      <w:proofErr w:type="spellStart"/>
      <w:r w:rsidRPr="00F864A3">
        <w:t>NESdb</w:t>
      </w:r>
      <w:proofErr w:type="spellEnd"/>
      <w:r w:rsidRPr="00F864A3">
        <w:t xml:space="preserve"> database </w:t>
      </w:r>
      <w:r w:rsidRPr="00F864A3">
        <w:fldChar w:fldCharType="begin"/>
      </w:r>
      <w:r w:rsidRPr="00F864A3">
        <w:instrText>ADDIN BEC{Xu et al., 2012, #91384; Xu et al., 2012, #86871}</w:instrText>
      </w:r>
      <w:r w:rsidRPr="00F864A3">
        <w:fldChar w:fldCharType="separate"/>
      </w:r>
      <w:r w:rsidRPr="00F864A3">
        <w:t>(Xu</w:t>
      </w:r>
      <w:r w:rsidRPr="00F864A3">
        <w:rPr>
          <w:i/>
        </w:rPr>
        <w:t xml:space="preserve"> et al.</w:t>
      </w:r>
      <w:r w:rsidRPr="00F864A3">
        <w:t>, 2012a, 2012b)</w:t>
      </w:r>
      <w:r w:rsidRPr="00F864A3">
        <w:fldChar w:fldCharType="end"/>
      </w:r>
      <w:r w:rsidRPr="00F864A3">
        <w:t>, and reported by</w:t>
      </w:r>
      <w:bookmarkStart w:id="0" w:name="_GoBack"/>
      <w:bookmarkEnd w:id="0"/>
      <w:r w:rsidRPr="00F864A3">
        <w:t xml:space="preserve"> </w:t>
      </w:r>
      <w:r w:rsidRPr="00F864A3">
        <w:fldChar w:fldCharType="begin"/>
      </w:r>
      <w:r w:rsidRPr="00F864A3">
        <w:instrText>ADDIN BEC{Thakar et al., 2013, #57459}</w:instrText>
      </w:r>
      <w:r w:rsidRPr="00F864A3">
        <w:fldChar w:fldCharType="separate"/>
      </w:r>
      <w:r w:rsidRPr="00F864A3">
        <w:t>(Thakar</w:t>
      </w:r>
      <w:r w:rsidRPr="00F864A3">
        <w:rPr>
          <w:i/>
        </w:rPr>
        <w:t xml:space="preserve"> et al.</w:t>
      </w:r>
      <w:r w:rsidRPr="00F864A3">
        <w:t>, 2013)</w:t>
      </w:r>
      <w:r w:rsidRPr="00F864A3">
        <w:fldChar w:fldCharType="end"/>
      </w:r>
      <w:r w:rsidRPr="00F864A3">
        <w:t xml:space="preserve">. Note that there is overlap between these previous entries and that 960 (90.6%) of the 1060 "category A-C" cargoes are new assignments. The fraction of new assignments for yeast and </w:t>
      </w:r>
      <w:r w:rsidRPr="00F864A3">
        <w:rPr>
          <w:i/>
        </w:rPr>
        <w:t>Xenopus</w:t>
      </w:r>
      <w:r w:rsidRPr="00F864A3">
        <w:t xml:space="preserve"> cargoes is even higher (95% and 99.5 %, respectively).</w:t>
      </w:r>
    </w:p>
    <w:p w14:paraId="33C12F7E" w14:textId="77777777" w:rsidR="00C90DA0" w:rsidRDefault="00C90DA0" w:rsidP="00F864A3">
      <w:pPr>
        <w:spacing w:line="240" w:lineRule="auto"/>
        <w:jc w:val="both"/>
      </w:pPr>
      <w:r w:rsidRPr="00F864A3">
        <w:t xml:space="preserve">A repeatedly noticed problem is that numerous published NESs and cargo assignments turned out to be incorrect, mostly because the assumed NESs are buried in the hydrophobic core (see </w:t>
      </w:r>
      <w:r w:rsidRPr="00F864A3">
        <w:fldChar w:fldCharType="begin"/>
      </w:r>
      <w:r w:rsidRPr="00F864A3">
        <w:instrText>ADDIN BEC{*Stüven et al., 2003, #2161}</w:instrText>
      </w:r>
      <w:r w:rsidRPr="00F864A3">
        <w:fldChar w:fldCharType="separate"/>
      </w:r>
      <w:r w:rsidRPr="00F864A3">
        <w:t>Stüven</w:t>
      </w:r>
      <w:r w:rsidRPr="00F864A3">
        <w:rPr>
          <w:i/>
        </w:rPr>
        <w:t xml:space="preserve"> et al.</w:t>
      </w:r>
      <w:r w:rsidRPr="00F864A3">
        <w:t>, 2003</w:t>
      </w:r>
      <w:r w:rsidRPr="00F864A3">
        <w:fldChar w:fldCharType="end"/>
      </w:r>
      <w:r w:rsidRPr="00F864A3">
        <w:t xml:space="preserve"> </w:t>
      </w:r>
      <w:r w:rsidRPr="00F864A3">
        <w:fldChar w:fldCharType="begin"/>
      </w:r>
      <w:r w:rsidRPr="00F864A3">
        <w:instrText>ADDIN BEC{Hantschel et al., 2005, #2602}{Xu et al., 2012, #91384}</w:instrText>
      </w:r>
      <w:r w:rsidRPr="00F864A3">
        <w:fldChar w:fldCharType="separate"/>
      </w:r>
      <w:r w:rsidRPr="00F864A3">
        <w:t>(Hantschel</w:t>
      </w:r>
      <w:r w:rsidRPr="00F864A3">
        <w:rPr>
          <w:i/>
        </w:rPr>
        <w:t xml:space="preserve"> et al.</w:t>
      </w:r>
      <w:r w:rsidRPr="00F864A3">
        <w:t>, 2005; Xu</w:t>
      </w:r>
      <w:r w:rsidRPr="00F864A3">
        <w:rPr>
          <w:i/>
        </w:rPr>
        <w:t xml:space="preserve"> et al.</w:t>
      </w:r>
      <w:r w:rsidRPr="00F864A3">
        <w:t>, 2012b)</w:t>
      </w:r>
      <w:r w:rsidRPr="00F864A3">
        <w:fldChar w:fldCharType="end"/>
      </w:r>
      <w:r w:rsidRPr="00F864A3">
        <w:t xml:space="preserve"> and discussion therein). Our data can therefore also be seen as an unbiased validation of previous assignments. We could clearly confirm 100 of these, but failed to detect any CRM1</w:t>
      </w:r>
      <w:r w:rsidRPr="00F864A3">
        <w:sym w:font="Symbol" w:char="F0B7"/>
      </w:r>
      <w:r w:rsidRPr="00F864A3">
        <w:t xml:space="preserve">cargo-like interaction for another </w:t>
      </w:r>
      <w:r w:rsidR="00F864A3">
        <w:t>30</w:t>
      </w:r>
      <w:r w:rsidRPr="00F864A3">
        <w:t xml:space="preserve">. We regard Nups and other NTRs (like importin </w:t>
      </w:r>
      <w:r w:rsidRPr="00F864A3">
        <w:sym w:font="Symbol" w:char="F061"/>
      </w:r>
      <w:r w:rsidRPr="00F864A3">
        <w:t xml:space="preserve"> or transportin) not as CRM1-cargoes.</w:t>
      </w:r>
    </w:p>
    <w:sectPr w:rsidR="00C90DA0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93"/>
    <w:rsid w:val="00317F78"/>
    <w:rsid w:val="004E5A93"/>
    <w:rsid w:val="0053054D"/>
    <w:rsid w:val="0061332F"/>
    <w:rsid w:val="00944A24"/>
    <w:rsid w:val="00A57B36"/>
    <w:rsid w:val="00C90DA0"/>
    <w:rsid w:val="00D55C27"/>
    <w:rsid w:val="00DC6B38"/>
    <w:rsid w:val="00F8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C51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90DA0"/>
    <w:pPr>
      <w:spacing w:after="0" w:line="240" w:lineRule="auto"/>
    </w:pPr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90DA0"/>
    <w:pPr>
      <w:spacing w:after="0" w:line="240" w:lineRule="auto"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1494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Karaca</dc:creator>
  <cp:lastModifiedBy> Dirk Görlich</cp:lastModifiedBy>
  <cp:revision>3</cp:revision>
  <dcterms:created xsi:type="dcterms:W3CDTF">2015-12-04T15:24:00Z</dcterms:created>
  <dcterms:modified xsi:type="dcterms:W3CDTF">2015-12-04T15:59:00Z</dcterms:modified>
</cp:coreProperties>
</file>