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69" w:rsidRPr="00C028C1" w:rsidRDefault="00F30EB0" w:rsidP="004461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028C1">
        <w:rPr>
          <w:rFonts w:eastAsia="Times New Roman"/>
          <w:b/>
        </w:rPr>
        <w:t>Figure 2-source data 1</w:t>
      </w:r>
    </w:p>
    <w:p w:rsidR="00C028C1" w:rsidRDefault="00C028C1" w:rsidP="00970B6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</w:p>
    <w:p w:rsidR="003B3920" w:rsidRPr="00C028C1" w:rsidRDefault="00C028C1" w:rsidP="00C028C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0484C">
        <w:rPr>
          <w:rFonts w:ascii="Arial" w:hAnsi="Arial" w:cs="Arial"/>
          <w:b/>
          <w:sz w:val="20"/>
          <w:szCs w:val="20"/>
        </w:rPr>
        <w:t>(</w:t>
      </w:r>
      <w:r w:rsidRPr="00C028C1">
        <w:rPr>
          <w:rFonts w:eastAsia="Times New Roman"/>
          <w:b/>
        </w:rPr>
        <w:t>Figure 2-source data 1</w:t>
      </w:r>
      <w:r>
        <w:rPr>
          <w:rFonts w:eastAsia="Times New Roman"/>
          <w:b/>
        </w:rPr>
        <w:t>,</w:t>
      </w:r>
      <w:r w:rsidR="009C4F03">
        <w:rPr>
          <w:rFonts w:ascii="Arial" w:hAnsi="Arial" w:cs="Arial"/>
          <w:b/>
          <w:sz w:val="20"/>
          <w:szCs w:val="20"/>
        </w:rPr>
        <w:t xml:space="preserve"> </w:t>
      </w:r>
      <w:r w:rsidR="00787CC3">
        <w:rPr>
          <w:rFonts w:ascii="Arial" w:hAnsi="Arial" w:cs="Arial"/>
          <w:b/>
          <w:i/>
          <w:sz w:val="20"/>
          <w:szCs w:val="20"/>
        </w:rPr>
        <w:t>Panel A</w:t>
      </w:r>
      <w:r w:rsidR="00C0484C">
        <w:rPr>
          <w:rFonts w:ascii="Arial" w:hAnsi="Arial" w:cs="Arial"/>
          <w:b/>
          <w:sz w:val="20"/>
          <w:szCs w:val="20"/>
        </w:rPr>
        <w:t xml:space="preserve">).  </w:t>
      </w:r>
      <w:r w:rsidR="00F90FC2">
        <w:rPr>
          <w:rFonts w:ascii="Arial" w:hAnsi="Arial" w:cs="Arial"/>
          <w:b/>
          <w:sz w:val="20"/>
          <w:szCs w:val="20"/>
        </w:rPr>
        <w:t xml:space="preserve">Time-resolved fluorescence and fluorescence </w:t>
      </w:r>
      <w:proofErr w:type="spellStart"/>
      <w:r w:rsidR="00F90FC2">
        <w:rPr>
          <w:rFonts w:ascii="Arial" w:hAnsi="Arial" w:cs="Arial"/>
          <w:b/>
          <w:sz w:val="20"/>
          <w:szCs w:val="20"/>
        </w:rPr>
        <w:t>anistoropy</w:t>
      </w:r>
      <w:proofErr w:type="spellEnd"/>
      <w:r w:rsidR="00F90FC2">
        <w:rPr>
          <w:rFonts w:ascii="Arial" w:hAnsi="Arial" w:cs="Arial"/>
          <w:b/>
          <w:sz w:val="20"/>
          <w:szCs w:val="20"/>
        </w:rPr>
        <w:t xml:space="preserve"> of </w:t>
      </w:r>
      <w:proofErr w:type="spellStart"/>
      <w:r w:rsidR="00F90FC2">
        <w:rPr>
          <w:rFonts w:ascii="Arial" w:hAnsi="Arial" w:cs="Arial"/>
          <w:b/>
          <w:sz w:val="20"/>
          <w:szCs w:val="20"/>
        </w:rPr>
        <w:t>eGFP</w:t>
      </w:r>
      <w:proofErr w:type="spellEnd"/>
      <w:r w:rsidR="00F90FC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="00F90FC2">
        <w:rPr>
          <w:rFonts w:ascii="Arial" w:hAnsi="Arial" w:cs="Arial"/>
          <w:b/>
          <w:sz w:val="20"/>
          <w:szCs w:val="20"/>
        </w:rPr>
        <w:t>eGFP</w:t>
      </w:r>
      <w:proofErr w:type="spellEnd"/>
      <w:r w:rsidR="00F90FC2">
        <w:rPr>
          <w:rFonts w:ascii="Arial" w:hAnsi="Arial" w:cs="Arial"/>
          <w:b/>
          <w:sz w:val="20"/>
          <w:szCs w:val="20"/>
        </w:rPr>
        <w:t>-tagged M</w:t>
      </w:r>
      <w:r w:rsidR="00F90FC2" w:rsidRPr="00F667AF">
        <w:rPr>
          <w:rFonts w:ascii="Arial" w:hAnsi="Arial" w:cs="Arial"/>
          <w:b/>
          <w:sz w:val="20"/>
          <w:szCs w:val="20"/>
          <w:vertAlign w:val="subscript"/>
        </w:rPr>
        <w:t>2</w:t>
      </w:r>
      <w:r w:rsidR="00F90FC2">
        <w:rPr>
          <w:rFonts w:ascii="Arial" w:hAnsi="Arial" w:cs="Arial"/>
          <w:b/>
          <w:sz w:val="20"/>
          <w:szCs w:val="20"/>
        </w:rPr>
        <w:t xml:space="preserve"> receptors.</w:t>
      </w:r>
      <w:r w:rsidR="00F90FC2" w:rsidRPr="00F667AF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685D7B">
        <w:rPr>
          <w:rFonts w:ascii="Arial" w:hAnsi="Arial" w:cs="Arial"/>
          <w:sz w:val="20"/>
          <w:szCs w:val="20"/>
        </w:rPr>
        <w:t>eGFP</w:t>
      </w:r>
      <w:proofErr w:type="spellEnd"/>
      <w:r w:rsidR="00685D7B">
        <w:rPr>
          <w:rFonts w:ascii="Arial" w:hAnsi="Arial" w:cs="Arial"/>
          <w:sz w:val="20"/>
          <w:szCs w:val="20"/>
        </w:rPr>
        <w:t xml:space="preserve"> </w:t>
      </w:r>
      <w:r w:rsidR="00A85732">
        <w:rPr>
          <w:rFonts w:ascii="Arial" w:hAnsi="Arial" w:cs="Arial"/>
          <w:sz w:val="20"/>
          <w:szCs w:val="20"/>
        </w:rPr>
        <w:t xml:space="preserve">was </w:t>
      </w:r>
      <w:r w:rsidR="00685D7B">
        <w:rPr>
          <w:rFonts w:ascii="Arial" w:hAnsi="Arial" w:cs="Arial"/>
          <w:sz w:val="20"/>
          <w:szCs w:val="20"/>
        </w:rPr>
        <w:t xml:space="preserve">fused to the </w:t>
      </w:r>
      <w:r w:rsidR="00685D7B">
        <w:rPr>
          <w:rFonts w:ascii="Arial" w:hAnsi="Arial" w:cs="Arial"/>
          <w:i/>
          <w:sz w:val="20"/>
          <w:szCs w:val="20"/>
        </w:rPr>
        <w:t>N</w:t>
      </w:r>
      <w:r w:rsidR="00685D7B">
        <w:rPr>
          <w:rFonts w:ascii="Arial" w:hAnsi="Arial" w:cs="Arial"/>
          <w:sz w:val="20"/>
          <w:szCs w:val="20"/>
        </w:rPr>
        <w:t>-termini of the wild-type M</w:t>
      </w:r>
      <w:r w:rsidR="00685D7B" w:rsidRPr="00F667AF">
        <w:rPr>
          <w:rFonts w:ascii="Arial" w:hAnsi="Arial" w:cs="Arial"/>
          <w:sz w:val="20"/>
          <w:szCs w:val="20"/>
          <w:vertAlign w:val="subscript"/>
        </w:rPr>
        <w:t>2</w:t>
      </w:r>
      <w:r w:rsidR="00685D7B">
        <w:rPr>
          <w:rFonts w:ascii="Arial" w:hAnsi="Arial" w:cs="Arial"/>
          <w:sz w:val="20"/>
          <w:szCs w:val="20"/>
        </w:rPr>
        <w:t xml:space="preserve"> receptor (eGFP-M</w:t>
      </w:r>
      <w:r w:rsidR="00685D7B" w:rsidRPr="00F667AF">
        <w:rPr>
          <w:rFonts w:ascii="Arial" w:hAnsi="Arial" w:cs="Arial"/>
          <w:sz w:val="20"/>
          <w:szCs w:val="20"/>
          <w:vertAlign w:val="subscript"/>
        </w:rPr>
        <w:t>2</w:t>
      </w:r>
      <w:r w:rsidR="00685D7B">
        <w:rPr>
          <w:rFonts w:ascii="Arial" w:hAnsi="Arial" w:cs="Arial"/>
          <w:sz w:val="20"/>
          <w:szCs w:val="20"/>
        </w:rPr>
        <w:t xml:space="preserve">) and a truncated mutant </w:t>
      </w:r>
      <w:r w:rsidR="00A85732">
        <w:rPr>
          <w:rFonts w:ascii="Arial" w:hAnsi="Arial" w:cs="Arial"/>
          <w:sz w:val="20"/>
          <w:szCs w:val="20"/>
        </w:rPr>
        <w:t xml:space="preserve">lacking the first 13 amino acids </w:t>
      </w:r>
      <w:r w:rsidR="00685D7B">
        <w:rPr>
          <w:rFonts w:ascii="Arial" w:hAnsi="Arial" w:cs="Arial"/>
          <w:sz w:val="20"/>
          <w:szCs w:val="20"/>
        </w:rPr>
        <w:t>(eGFP-truncM</w:t>
      </w:r>
      <w:r w:rsidR="00685D7B" w:rsidRPr="00F667AF">
        <w:rPr>
          <w:rFonts w:ascii="Arial" w:hAnsi="Arial" w:cs="Arial"/>
          <w:sz w:val="20"/>
          <w:szCs w:val="20"/>
          <w:vertAlign w:val="subscript"/>
        </w:rPr>
        <w:t>2</w:t>
      </w:r>
      <w:r w:rsidR="00685D7B">
        <w:rPr>
          <w:rFonts w:ascii="Arial" w:hAnsi="Arial" w:cs="Arial"/>
          <w:sz w:val="20"/>
          <w:szCs w:val="20"/>
        </w:rPr>
        <w:t xml:space="preserve">).  </w:t>
      </w:r>
      <w:r w:rsidR="00A85732">
        <w:rPr>
          <w:rFonts w:ascii="Arial" w:hAnsi="Arial" w:cs="Arial"/>
          <w:sz w:val="20"/>
          <w:szCs w:val="20"/>
        </w:rPr>
        <w:t xml:space="preserve">The tagged </w:t>
      </w:r>
      <w:r w:rsidR="00685D7B">
        <w:rPr>
          <w:rFonts w:ascii="Arial" w:hAnsi="Arial" w:cs="Arial"/>
          <w:sz w:val="20"/>
          <w:szCs w:val="20"/>
        </w:rPr>
        <w:t>recepto</w:t>
      </w:r>
      <w:r w:rsidR="00A85732">
        <w:rPr>
          <w:rFonts w:ascii="Arial" w:hAnsi="Arial" w:cs="Arial"/>
          <w:sz w:val="20"/>
          <w:szCs w:val="20"/>
        </w:rPr>
        <w:t xml:space="preserve">rs were expressed in CHO cells and </w:t>
      </w:r>
      <w:r w:rsidR="006C41F6">
        <w:rPr>
          <w:rFonts w:ascii="Arial" w:hAnsi="Arial" w:cs="Arial"/>
          <w:sz w:val="20"/>
          <w:szCs w:val="20"/>
        </w:rPr>
        <w:t xml:space="preserve">solubilized </w:t>
      </w:r>
      <w:r w:rsidR="00A85732">
        <w:rPr>
          <w:rFonts w:ascii="Arial" w:hAnsi="Arial" w:cs="Arial"/>
          <w:sz w:val="20"/>
          <w:szCs w:val="20"/>
        </w:rPr>
        <w:t xml:space="preserve">in </w:t>
      </w:r>
      <w:proofErr w:type="spellStart"/>
      <w:r w:rsidR="00A85732">
        <w:rPr>
          <w:rFonts w:ascii="Arial" w:hAnsi="Arial" w:cs="Arial"/>
          <w:sz w:val="20"/>
          <w:szCs w:val="20"/>
        </w:rPr>
        <w:t>digitonin</w:t>
      </w:r>
      <w:proofErr w:type="spellEnd"/>
      <w:r w:rsidR="00A85732">
        <w:rPr>
          <w:rFonts w:ascii="Arial" w:hAnsi="Arial" w:cs="Arial"/>
          <w:sz w:val="20"/>
          <w:szCs w:val="20"/>
        </w:rPr>
        <w:t>–cholate</w:t>
      </w:r>
      <w:r w:rsidR="00BA7129">
        <w:rPr>
          <w:rFonts w:ascii="Arial" w:hAnsi="Arial" w:cs="Arial"/>
          <w:sz w:val="20"/>
          <w:szCs w:val="20"/>
        </w:rPr>
        <w:t xml:space="preserve"> to obtain the samples used in the assays.  In the case of eGFP-M</w:t>
      </w:r>
      <w:r w:rsidR="00BA7129" w:rsidRPr="00F667AF">
        <w:rPr>
          <w:rFonts w:ascii="Arial" w:hAnsi="Arial" w:cs="Arial"/>
          <w:sz w:val="20"/>
          <w:szCs w:val="20"/>
          <w:vertAlign w:val="subscript"/>
        </w:rPr>
        <w:t>2</w:t>
      </w:r>
      <w:r w:rsidR="00BA7129">
        <w:rPr>
          <w:rFonts w:ascii="Arial" w:hAnsi="Arial" w:cs="Arial"/>
          <w:sz w:val="20"/>
          <w:szCs w:val="20"/>
        </w:rPr>
        <w:t xml:space="preserve">, the samples were supplemented with ligand as shown in the table. </w:t>
      </w:r>
      <w:r w:rsidR="006C41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FC2">
        <w:rPr>
          <w:rFonts w:ascii="Arial" w:hAnsi="Arial" w:cs="Arial"/>
          <w:sz w:val="20"/>
          <w:szCs w:val="20"/>
        </w:rPr>
        <w:t>eGFP</w:t>
      </w:r>
      <w:proofErr w:type="spellEnd"/>
      <w:r w:rsidR="00F90FC2">
        <w:rPr>
          <w:rFonts w:ascii="Arial" w:hAnsi="Arial" w:cs="Arial"/>
          <w:sz w:val="20"/>
          <w:szCs w:val="20"/>
        </w:rPr>
        <w:t xml:space="preserve"> was purchased from </w:t>
      </w:r>
      <w:proofErr w:type="spellStart"/>
      <w:r w:rsidR="00AB1C2A">
        <w:rPr>
          <w:rFonts w:ascii="Arial" w:hAnsi="Arial" w:cs="Arial"/>
          <w:sz w:val="20"/>
          <w:szCs w:val="20"/>
        </w:rPr>
        <w:t>Clontech</w:t>
      </w:r>
      <w:proofErr w:type="spellEnd"/>
      <w:r w:rsidR="00AB1C2A">
        <w:rPr>
          <w:rFonts w:ascii="Arial" w:hAnsi="Arial" w:cs="Arial"/>
          <w:sz w:val="20"/>
          <w:szCs w:val="20"/>
        </w:rPr>
        <w:t xml:space="preserve"> </w:t>
      </w:r>
      <w:r w:rsidR="00F90FC2">
        <w:rPr>
          <w:rFonts w:ascii="Arial" w:hAnsi="Arial" w:cs="Arial"/>
          <w:sz w:val="20"/>
          <w:szCs w:val="20"/>
        </w:rPr>
        <w:t>and dissolved in the same</w:t>
      </w:r>
      <w:r w:rsidR="00BA7129">
        <w:rPr>
          <w:rFonts w:ascii="Arial" w:hAnsi="Arial" w:cs="Arial"/>
          <w:sz w:val="20"/>
          <w:szCs w:val="20"/>
        </w:rPr>
        <w:t xml:space="preserve"> buffer.  The concentration of </w:t>
      </w:r>
      <w:proofErr w:type="spellStart"/>
      <w:r w:rsidR="00BA7129">
        <w:rPr>
          <w:rFonts w:ascii="Arial" w:hAnsi="Arial" w:cs="Arial"/>
          <w:sz w:val="20"/>
          <w:szCs w:val="20"/>
        </w:rPr>
        <w:t>eGFP</w:t>
      </w:r>
      <w:proofErr w:type="spellEnd"/>
      <w:r w:rsidR="00BA7129">
        <w:rPr>
          <w:rFonts w:ascii="Arial" w:hAnsi="Arial" w:cs="Arial"/>
          <w:sz w:val="20"/>
          <w:szCs w:val="20"/>
        </w:rPr>
        <w:t xml:space="preserve">-tagged receptor was 3–10 </w:t>
      </w:r>
      <w:proofErr w:type="spellStart"/>
      <w:r w:rsidR="00BA7129">
        <w:rPr>
          <w:rFonts w:ascii="Arial" w:hAnsi="Arial" w:cs="Arial"/>
          <w:sz w:val="20"/>
          <w:szCs w:val="20"/>
        </w:rPr>
        <w:t>nM</w:t>
      </w:r>
      <w:proofErr w:type="spellEnd"/>
      <w:r w:rsidR="00BA7129">
        <w:rPr>
          <w:rFonts w:ascii="Arial" w:hAnsi="Arial" w:cs="Arial"/>
          <w:sz w:val="20"/>
          <w:szCs w:val="20"/>
        </w:rPr>
        <w:t xml:space="preserve">, and that of </w:t>
      </w:r>
      <w:proofErr w:type="spellStart"/>
      <w:r w:rsidR="00BA7129">
        <w:rPr>
          <w:rFonts w:ascii="Arial" w:hAnsi="Arial" w:cs="Arial"/>
          <w:sz w:val="20"/>
          <w:szCs w:val="20"/>
        </w:rPr>
        <w:t>eGFP</w:t>
      </w:r>
      <w:proofErr w:type="spellEnd"/>
      <w:r w:rsidR="00BA7129">
        <w:rPr>
          <w:rFonts w:ascii="Arial" w:hAnsi="Arial" w:cs="Arial"/>
          <w:sz w:val="20"/>
          <w:szCs w:val="20"/>
        </w:rPr>
        <w:t xml:space="preserve"> was </w:t>
      </w:r>
      <w:r w:rsidR="00AB1C2A">
        <w:rPr>
          <w:rFonts w:ascii="Arial" w:hAnsi="Arial" w:cs="Arial"/>
          <w:sz w:val="20"/>
          <w:szCs w:val="20"/>
        </w:rPr>
        <w:t xml:space="preserve">3–10 </w:t>
      </w:r>
      <w:proofErr w:type="spellStart"/>
      <w:r w:rsidR="00BA7129">
        <w:rPr>
          <w:rFonts w:ascii="Arial" w:hAnsi="Arial" w:cs="Arial"/>
          <w:sz w:val="20"/>
          <w:szCs w:val="20"/>
        </w:rPr>
        <w:t>nM</w:t>
      </w:r>
      <w:proofErr w:type="spellEnd"/>
      <w:r w:rsidR="00BA7129">
        <w:rPr>
          <w:rFonts w:ascii="Arial" w:hAnsi="Arial" w:cs="Arial"/>
          <w:sz w:val="20"/>
          <w:szCs w:val="20"/>
        </w:rPr>
        <w:t xml:space="preserve">.  </w:t>
      </w:r>
      <w:r w:rsidR="00F61F48">
        <w:rPr>
          <w:rFonts w:ascii="Arial" w:hAnsi="Arial" w:cs="Arial"/>
          <w:sz w:val="20"/>
          <w:szCs w:val="20"/>
        </w:rPr>
        <w:t>Time-resolved measurements of f</w:t>
      </w:r>
      <w:r w:rsidR="006C41F6">
        <w:rPr>
          <w:rFonts w:ascii="Arial" w:hAnsi="Arial" w:cs="Arial"/>
          <w:sz w:val="20"/>
          <w:szCs w:val="20"/>
        </w:rPr>
        <w:t>luorescence</w:t>
      </w:r>
      <w:r w:rsidR="00F61F48">
        <w:rPr>
          <w:rFonts w:ascii="Arial" w:hAnsi="Arial" w:cs="Arial"/>
          <w:sz w:val="20"/>
          <w:szCs w:val="20"/>
        </w:rPr>
        <w:t xml:space="preserve"> emission</w:t>
      </w:r>
      <w:r w:rsidR="006C41F6">
        <w:rPr>
          <w:rFonts w:ascii="Arial" w:hAnsi="Arial" w:cs="Arial"/>
          <w:sz w:val="20"/>
          <w:szCs w:val="20"/>
        </w:rPr>
        <w:t xml:space="preserve"> and fluorescence anisotropy </w:t>
      </w:r>
      <w:r w:rsidR="00BE6B20">
        <w:rPr>
          <w:rFonts w:ascii="Arial" w:hAnsi="Arial" w:cs="Arial"/>
          <w:sz w:val="20"/>
          <w:szCs w:val="20"/>
        </w:rPr>
        <w:t>result</w:t>
      </w:r>
      <w:r w:rsidR="00F61F48">
        <w:rPr>
          <w:rFonts w:ascii="Arial" w:hAnsi="Arial" w:cs="Arial"/>
          <w:sz w:val="20"/>
          <w:szCs w:val="20"/>
        </w:rPr>
        <w:t>ed</w:t>
      </w:r>
      <w:r w:rsidR="00BE6B20">
        <w:rPr>
          <w:rFonts w:ascii="Arial" w:hAnsi="Arial" w:cs="Arial"/>
          <w:sz w:val="20"/>
          <w:szCs w:val="20"/>
        </w:rPr>
        <w:t xml:space="preserve"> in single exponentials that were analyzed</w:t>
      </w:r>
      <w:r w:rsidR="006705F5">
        <w:rPr>
          <w:rFonts w:ascii="Arial" w:hAnsi="Arial" w:cs="Arial"/>
          <w:sz w:val="20"/>
          <w:szCs w:val="20"/>
        </w:rPr>
        <w:t xml:space="preserve"> according to Equations 4–9</w:t>
      </w:r>
      <w:r w:rsidR="006C41F6">
        <w:rPr>
          <w:rFonts w:ascii="Arial" w:hAnsi="Arial" w:cs="Arial"/>
          <w:sz w:val="20"/>
          <w:szCs w:val="20"/>
        </w:rPr>
        <w:t xml:space="preserve"> to obtain the fluorescence lifetimes</w:t>
      </w:r>
      <w:r w:rsidR="00BE6B20">
        <w:rPr>
          <w:rFonts w:ascii="Arial" w:hAnsi="Arial" w:cs="Arial"/>
          <w:sz w:val="20"/>
          <w:szCs w:val="20"/>
        </w:rPr>
        <w:t>,</w:t>
      </w:r>
      <w:r w:rsidR="006C41F6">
        <w:rPr>
          <w:rFonts w:ascii="Arial" w:hAnsi="Arial" w:cs="Arial"/>
          <w:sz w:val="20"/>
          <w:szCs w:val="20"/>
        </w:rPr>
        <w:t xml:space="preserve"> rotational correlation times</w:t>
      </w:r>
      <w:r w:rsidR="00996E62">
        <w:rPr>
          <w:rFonts w:ascii="Arial" w:hAnsi="Arial" w:cs="Arial"/>
          <w:sz w:val="20"/>
          <w:szCs w:val="20"/>
        </w:rPr>
        <w:t>,</w:t>
      </w:r>
      <w:r w:rsidR="006C41F6">
        <w:rPr>
          <w:rFonts w:ascii="Arial" w:hAnsi="Arial" w:cs="Arial"/>
          <w:sz w:val="20"/>
          <w:szCs w:val="20"/>
        </w:rPr>
        <w:t xml:space="preserve"> </w:t>
      </w:r>
      <w:r w:rsidR="00BE6B20">
        <w:rPr>
          <w:rFonts w:ascii="Arial" w:hAnsi="Arial" w:cs="Arial"/>
          <w:sz w:val="20"/>
          <w:szCs w:val="20"/>
        </w:rPr>
        <w:t xml:space="preserve">and corresponding standard deviations </w:t>
      </w:r>
      <w:r w:rsidR="006C41F6">
        <w:rPr>
          <w:rFonts w:ascii="Arial" w:hAnsi="Arial" w:cs="Arial"/>
          <w:sz w:val="20"/>
          <w:szCs w:val="20"/>
        </w:rPr>
        <w:t xml:space="preserve">listed in the table.  </w:t>
      </w:r>
      <w:r w:rsidR="00BE6B20">
        <w:rPr>
          <w:rFonts w:ascii="Arial" w:hAnsi="Arial" w:cs="Arial"/>
          <w:sz w:val="20"/>
          <w:szCs w:val="20"/>
        </w:rPr>
        <w:t xml:space="preserve">Further details are described in Materials and Methods.  </w:t>
      </w:r>
      <w:r w:rsidR="003B3920" w:rsidRPr="00B15E25">
        <w:rPr>
          <w:rFonts w:ascii="Arial" w:hAnsi="Arial" w:cs="Arial"/>
          <w:sz w:val="20"/>
          <w:szCs w:val="20"/>
        </w:rPr>
        <w:t xml:space="preserve">  </w:t>
      </w:r>
    </w:p>
    <w:p w:rsidR="003B3920" w:rsidRPr="00B15E25" w:rsidRDefault="003B3920" w:rsidP="003B3920">
      <w:pPr>
        <w:spacing w:line="240" w:lineRule="auto"/>
        <w:ind w:firstLine="360"/>
        <w:contextualSpacing/>
        <w:jc w:val="both"/>
        <w:rPr>
          <w:rFonts w:cs="Times"/>
          <w:sz w:val="22"/>
          <w:szCs w:val="22"/>
        </w:rPr>
      </w:pPr>
    </w:p>
    <w:tbl>
      <w:tblPr>
        <w:tblW w:w="8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508"/>
        <w:gridCol w:w="2357"/>
      </w:tblGrid>
      <w:tr w:rsidR="00C9206D" w:rsidRPr="00B15E25" w:rsidTr="00847798">
        <w:trPr>
          <w:trHeight w:val="602"/>
          <w:jc w:val="center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06D" w:rsidRPr="00801624" w:rsidRDefault="00847798" w:rsidP="0084779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Sample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72" w:type="dxa"/>
              <w:right w:w="115" w:type="dxa"/>
            </w:tcMar>
            <w:vAlign w:val="bottom"/>
            <w:hideMark/>
          </w:tcPr>
          <w:p w:rsidR="00C9206D" w:rsidRDefault="00C9206D" w:rsidP="00CD6BC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Flu</w:t>
            </w:r>
            <w:r w:rsidR="00F90FC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rescence lifetime</w:t>
            </w:r>
          </w:p>
          <w:p w:rsidR="00C9206D" w:rsidRPr="00801624" w:rsidRDefault="00C9206D" w:rsidP="00CD6BC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rFonts w:ascii="Symbol" w:hAnsi="Symbol"/>
                <w:i/>
                <w:sz w:val="22"/>
                <w:szCs w:val="22"/>
              </w:rPr>
              <w:t></w:t>
            </w:r>
            <w:r>
              <w:rPr>
                <w:sz w:val="22"/>
                <w:szCs w:val="22"/>
              </w:rPr>
              <w:t>, ns)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:rsidR="00C9206D" w:rsidRDefault="00C9206D" w:rsidP="001C75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Rotational correlation time</w:t>
            </w:r>
          </w:p>
          <w:p w:rsidR="00C9206D" w:rsidRPr="00C9206D" w:rsidRDefault="00C9206D" w:rsidP="001C75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φ</w:t>
            </w:r>
            <w:r>
              <w:rPr>
                <w:sz w:val="22"/>
                <w:szCs w:val="22"/>
              </w:rPr>
              <w:t>, ns)</w:t>
            </w:r>
          </w:p>
        </w:tc>
      </w:tr>
      <w:tr w:rsidR="00C9206D" w:rsidRPr="00B15E25" w:rsidTr="00847798">
        <w:trPr>
          <w:trHeight w:hRule="exact" w:val="72"/>
          <w:jc w:val="center"/>
        </w:trPr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6D" w:rsidRPr="00801624" w:rsidRDefault="00C9206D" w:rsidP="009C2181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6D" w:rsidRPr="00801624" w:rsidRDefault="00C9206D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06D" w:rsidRPr="00801624" w:rsidRDefault="00C9206D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C9206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6D" w:rsidRPr="00C9206D" w:rsidRDefault="00C9206D" w:rsidP="00C9206D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9206D">
              <w:rPr>
                <w:sz w:val="22"/>
                <w:szCs w:val="22"/>
              </w:rPr>
              <w:t>eGFP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6D" w:rsidRPr="00801624" w:rsidRDefault="00477FA6" w:rsidP="009C2181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="00C9206D">
              <w:rPr>
                <w:sz w:val="22"/>
                <w:szCs w:val="22"/>
              </w:rPr>
              <w:t xml:space="preserve"> </w:t>
            </w:r>
            <w:r w:rsidR="00C9206D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±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06D" w:rsidRPr="00801624" w:rsidRDefault="00C9206D" w:rsidP="00477FA6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</w:t>
            </w:r>
            <w:r w:rsidRPr="0080162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± </w:t>
            </w:r>
            <w:r w:rsidR="00477FA6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C9206D" w:rsidRDefault="00654B8D" w:rsidP="00842E4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eGFP-truncM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801624" w:rsidRDefault="00654B8D" w:rsidP="00842E47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Default="00654B8D" w:rsidP="00842E47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801624">
              <w:rPr>
                <w:sz w:val="22"/>
                <w:szCs w:val="22"/>
              </w:rPr>
              <w:t xml:space="preserve"> </w:t>
            </w:r>
            <w:r w:rsidRPr="0080162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 5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C9206D" w:rsidRDefault="00654B8D" w:rsidP="00C9206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801624" w:rsidRDefault="00654B8D" w:rsidP="00477FA6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Default="00654B8D" w:rsidP="00E544DE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Pr="00801624">
              <w:rPr>
                <w:sz w:val="22"/>
                <w:szCs w:val="22"/>
              </w:rPr>
              <w:t xml:space="preserve"> </w:t>
            </w:r>
            <w:r w:rsidRPr="0080162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 7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C9206D" w:rsidRDefault="00654B8D" w:rsidP="00C9206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carbachol (1 </w:t>
            </w:r>
            <w:proofErr w:type="spellStart"/>
            <w:r>
              <w:rPr>
                <w:sz w:val="22"/>
                <w:szCs w:val="22"/>
              </w:rPr>
              <w:t>mM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801624" w:rsidRDefault="00654B8D" w:rsidP="009C2181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Default="00654B8D" w:rsidP="00E544DE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801624">
              <w:rPr>
                <w:sz w:val="22"/>
                <w:szCs w:val="22"/>
              </w:rPr>
              <w:t xml:space="preserve"> </w:t>
            </w:r>
            <w:r w:rsidRPr="0080162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 5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C9206D" w:rsidRDefault="00654B8D" w:rsidP="00C9206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NMS (1 </w:t>
            </w:r>
            <w:r>
              <w:rPr>
                <w:rFonts w:ascii="Symbol" w:hAnsi="Symbol"/>
                <w:i/>
                <w:sz w:val="22"/>
                <w:szCs w:val="22"/>
              </w:rPr>
              <w:t></w:t>
            </w:r>
            <w:r>
              <w:rPr>
                <w:sz w:val="22"/>
                <w:szCs w:val="22"/>
              </w:rPr>
              <w:t>M)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801624" w:rsidRDefault="00654B8D" w:rsidP="009C2181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Default="00654B8D" w:rsidP="00E544DE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801624">
              <w:rPr>
                <w:sz w:val="22"/>
                <w:szCs w:val="22"/>
              </w:rPr>
              <w:t xml:space="preserve"> </w:t>
            </w:r>
            <w:r w:rsidRPr="0080162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 5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B8D" w:rsidRPr="00C9206D" w:rsidRDefault="00654B8D" w:rsidP="00C9206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gallamine (10 </w:t>
            </w:r>
            <w:proofErr w:type="spellStart"/>
            <w:r>
              <w:rPr>
                <w:sz w:val="22"/>
                <w:szCs w:val="22"/>
              </w:rPr>
              <w:t>mM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B8D" w:rsidRPr="00801624" w:rsidRDefault="00654B8D" w:rsidP="00477FA6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8016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2.6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± 0.1 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Pr="00801624" w:rsidRDefault="00654B8D" w:rsidP="00477FA6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801624"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5</w:t>
            </w:r>
          </w:p>
        </w:tc>
      </w:tr>
      <w:tr w:rsidR="00654B8D" w:rsidRPr="00B15E25" w:rsidTr="00654B8D">
        <w:trPr>
          <w:trHeight w:val="270"/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C9206D" w:rsidRDefault="00654B8D" w:rsidP="00C9206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eGFP-M</w:t>
            </w:r>
            <w:r w:rsidRPr="00C9206D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NMS</w:t>
            </w:r>
            <w:r w:rsidR="008477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(1 </w:t>
            </w:r>
            <w:r>
              <w:rPr>
                <w:rFonts w:ascii="Symbol" w:hAnsi="Symbol"/>
                <w:i/>
                <w:sz w:val="22"/>
                <w:szCs w:val="22"/>
              </w:rPr>
              <w:t></w:t>
            </w:r>
            <w:r>
              <w:rPr>
                <w:sz w:val="22"/>
                <w:szCs w:val="22"/>
              </w:rPr>
              <w:t xml:space="preserve">M) + gallamine (10 </w:t>
            </w:r>
            <w:proofErr w:type="spellStart"/>
            <w:r>
              <w:rPr>
                <w:sz w:val="22"/>
                <w:szCs w:val="22"/>
              </w:rPr>
              <w:t>mM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B8D" w:rsidRPr="00801624" w:rsidRDefault="00654B8D" w:rsidP="009C2181">
            <w:pPr>
              <w:tabs>
                <w:tab w:val="decimal" w:pos="261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0.1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B8D" w:rsidRPr="00801624" w:rsidRDefault="00654B8D" w:rsidP="00E544DE">
            <w:pPr>
              <w:tabs>
                <w:tab w:val="decimal" w:pos="238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801624"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± 5</w:t>
            </w:r>
          </w:p>
        </w:tc>
      </w:tr>
      <w:tr w:rsidR="00654B8D" w:rsidRPr="00B15E25" w:rsidTr="00654B8D">
        <w:trPr>
          <w:trHeight w:hRule="exact" w:val="72"/>
          <w:jc w:val="center"/>
        </w:trPr>
        <w:tc>
          <w:tcPr>
            <w:tcW w:w="4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54B8D" w:rsidRPr="00B15E25" w:rsidRDefault="00654B8D" w:rsidP="009C2181">
            <w:pPr>
              <w:spacing w:after="0" w:line="240" w:lineRule="auto"/>
              <w:rPr>
                <w:rFonts w:ascii="Times" w:hAnsi="Times" w:cs="Times"/>
                <w:i/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54B8D" w:rsidRPr="00B15E25" w:rsidRDefault="00654B8D" w:rsidP="009C2181">
            <w:pPr>
              <w:spacing w:after="0" w:line="240" w:lineRule="auto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</w:tr>
    </w:tbl>
    <w:p w:rsidR="00C0484C" w:rsidRDefault="00C0484C" w:rsidP="003B3920">
      <w:pPr>
        <w:pStyle w:val="TAMainText"/>
        <w:spacing w:after="120" w:line="240" w:lineRule="auto"/>
        <w:ind w:firstLine="0"/>
        <w:contextualSpacing/>
        <w:rPr>
          <w:rFonts w:cs="Times"/>
          <w:sz w:val="22"/>
          <w:vertAlign w:val="superscript"/>
        </w:rPr>
      </w:pPr>
    </w:p>
    <w:p w:rsidR="00654B8D" w:rsidRDefault="00654B8D" w:rsidP="003B3920">
      <w:pPr>
        <w:pStyle w:val="TAMainText"/>
        <w:spacing w:after="120" w:line="240" w:lineRule="auto"/>
        <w:ind w:firstLine="0"/>
        <w:contextualSpacing/>
        <w:rPr>
          <w:rFonts w:cs="Times"/>
          <w:sz w:val="22"/>
          <w:vertAlign w:val="superscript"/>
        </w:rPr>
      </w:pPr>
    </w:p>
    <w:p w:rsidR="00477FA6" w:rsidRPr="00477FA6" w:rsidRDefault="00477FA6" w:rsidP="003B3920">
      <w:pPr>
        <w:pStyle w:val="TAMainText"/>
        <w:spacing w:after="120" w:line="240" w:lineRule="auto"/>
        <w:ind w:firstLine="0"/>
        <w:contextualSpacing/>
        <w:rPr>
          <w:rFonts w:cs="Times"/>
          <w:sz w:val="22"/>
        </w:rPr>
      </w:pPr>
    </w:p>
    <w:p w:rsidR="00970B69" w:rsidRPr="00F8290C" w:rsidRDefault="00F8290C" w:rsidP="00F8290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70B69">
        <w:rPr>
          <w:rFonts w:ascii="Arial" w:hAnsi="Arial" w:cs="Arial"/>
          <w:b/>
          <w:sz w:val="20"/>
          <w:szCs w:val="20"/>
        </w:rPr>
        <w:t>(</w:t>
      </w:r>
      <w:r w:rsidRPr="00C028C1">
        <w:rPr>
          <w:rFonts w:eastAsia="Times New Roman"/>
          <w:b/>
        </w:rPr>
        <w:t>Figure 2-source data 1</w:t>
      </w:r>
      <w:r>
        <w:rPr>
          <w:rFonts w:eastAsia="Times New Roman"/>
          <w:b/>
        </w:rPr>
        <w:t>,</w:t>
      </w:r>
      <w:r w:rsidR="00970B69">
        <w:rPr>
          <w:rFonts w:ascii="Arial" w:hAnsi="Arial" w:cs="Arial"/>
          <w:b/>
          <w:sz w:val="20"/>
          <w:szCs w:val="20"/>
        </w:rPr>
        <w:t xml:space="preserve">  </w:t>
      </w:r>
      <w:r w:rsidR="00447ACE">
        <w:rPr>
          <w:rFonts w:ascii="Arial" w:hAnsi="Arial" w:cs="Arial"/>
          <w:b/>
          <w:i/>
          <w:sz w:val="20"/>
          <w:szCs w:val="20"/>
        </w:rPr>
        <w:t>Panel E</w:t>
      </w:r>
      <w:r w:rsidR="00970B69">
        <w:rPr>
          <w:rFonts w:ascii="Arial" w:hAnsi="Arial" w:cs="Arial"/>
          <w:b/>
          <w:sz w:val="20"/>
          <w:szCs w:val="20"/>
        </w:rPr>
        <w:t xml:space="preserve">).  Levels of significance for ligand-dependent changes in the FRET efficiency of </w:t>
      </w:r>
      <w:proofErr w:type="spellStart"/>
      <w:r w:rsidR="00970B69">
        <w:rPr>
          <w:rFonts w:ascii="Arial" w:hAnsi="Arial" w:cs="Arial"/>
          <w:b/>
          <w:sz w:val="20"/>
          <w:szCs w:val="20"/>
        </w:rPr>
        <w:t>FlAsH</w:t>
      </w:r>
      <w:proofErr w:type="spellEnd"/>
      <w:r w:rsidR="00970B69">
        <w:rPr>
          <w:rFonts w:ascii="Arial" w:hAnsi="Arial" w:cs="Arial"/>
          <w:b/>
          <w:sz w:val="20"/>
          <w:szCs w:val="20"/>
        </w:rPr>
        <w:t xml:space="preserve">-reacted </w:t>
      </w:r>
      <w:r w:rsidR="00571741">
        <w:rPr>
          <w:rFonts w:ascii="Arial" w:hAnsi="Arial" w:cs="Arial"/>
          <w:b/>
          <w:sz w:val="20"/>
          <w:szCs w:val="20"/>
        </w:rPr>
        <w:t>m</w:t>
      </w:r>
      <w:r w:rsidR="00970B69">
        <w:rPr>
          <w:rFonts w:ascii="Arial" w:hAnsi="Arial" w:cs="Arial"/>
          <w:b/>
          <w:sz w:val="20"/>
          <w:szCs w:val="20"/>
        </w:rPr>
        <w:t>Ch-M</w:t>
      </w:r>
      <w:r w:rsidR="00BE578E" w:rsidRPr="00C83D7B">
        <w:rPr>
          <w:rFonts w:ascii="Arial" w:hAnsi="Arial" w:cs="Arial"/>
          <w:b/>
          <w:sz w:val="20"/>
          <w:szCs w:val="20"/>
          <w:vertAlign w:val="subscript"/>
        </w:rPr>
        <w:t>2</w:t>
      </w:r>
      <w:r w:rsidR="00970B69">
        <w:rPr>
          <w:rFonts w:ascii="Arial" w:hAnsi="Arial" w:cs="Arial"/>
          <w:b/>
          <w:sz w:val="20"/>
          <w:szCs w:val="20"/>
        </w:rPr>
        <w:t xml:space="preserve">-FCM.  </w:t>
      </w:r>
      <w:r w:rsidR="00970B69" w:rsidRPr="00970B69">
        <w:rPr>
          <w:rFonts w:ascii="Arial" w:hAnsi="Arial" w:cs="Arial"/>
          <w:sz w:val="20"/>
          <w:szCs w:val="20"/>
        </w:rPr>
        <w:t>The FRET efficiency</w:t>
      </w:r>
      <w:r w:rsidR="00957AEA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57AEA">
        <w:rPr>
          <w:rFonts w:ascii="Arial" w:hAnsi="Arial" w:cs="Arial"/>
          <w:i/>
          <w:sz w:val="20"/>
          <w:szCs w:val="20"/>
        </w:rPr>
        <w:t>E</w:t>
      </w:r>
      <w:r w:rsidR="00957AEA" w:rsidRPr="00C83D7B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957AEA">
        <w:rPr>
          <w:rFonts w:ascii="Arial" w:hAnsi="Arial" w:cs="Arial"/>
          <w:sz w:val="20"/>
          <w:szCs w:val="20"/>
        </w:rPr>
        <w:t>)</w:t>
      </w:r>
      <w:r w:rsidR="00970B69" w:rsidRPr="00970B69">
        <w:rPr>
          <w:rFonts w:ascii="Arial" w:hAnsi="Arial" w:cs="Arial"/>
          <w:sz w:val="20"/>
          <w:szCs w:val="20"/>
        </w:rPr>
        <w:t xml:space="preserve"> </w:t>
      </w:r>
      <w:r w:rsidR="00477FA6">
        <w:rPr>
          <w:rFonts w:ascii="Arial" w:hAnsi="Arial" w:cs="Arial"/>
          <w:sz w:val="20"/>
          <w:szCs w:val="20"/>
        </w:rPr>
        <w:t xml:space="preserve">of the sensor in CHO cells </w:t>
      </w:r>
      <w:r w:rsidR="00970B69" w:rsidRPr="00970B69">
        <w:rPr>
          <w:rFonts w:ascii="Arial" w:hAnsi="Arial" w:cs="Arial"/>
          <w:sz w:val="20"/>
          <w:szCs w:val="20"/>
        </w:rPr>
        <w:t xml:space="preserve">was measured in the </w:t>
      </w:r>
      <w:r w:rsidR="00957AEA">
        <w:rPr>
          <w:rFonts w:ascii="Arial" w:hAnsi="Arial" w:cs="Arial"/>
          <w:sz w:val="20"/>
          <w:szCs w:val="20"/>
        </w:rPr>
        <w:t xml:space="preserve">absence and </w:t>
      </w:r>
      <w:r w:rsidR="00970B69" w:rsidRPr="00970B69">
        <w:rPr>
          <w:rFonts w:ascii="Arial" w:hAnsi="Arial" w:cs="Arial"/>
          <w:sz w:val="20"/>
          <w:szCs w:val="20"/>
        </w:rPr>
        <w:t xml:space="preserve">presence of ligands </w:t>
      </w:r>
      <w:r w:rsidR="00970B69">
        <w:rPr>
          <w:rFonts w:ascii="Arial" w:hAnsi="Arial" w:cs="Arial"/>
          <w:sz w:val="20"/>
          <w:szCs w:val="20"/>
        </w:rPr>
        <w:t>as describe</w:t>
      </w:r>
      <w:r w:rsidR="00970B69" w:rsidRPr="00970B69">
        <w:rPr>
          <w:rFonts w:ascii="Arial" w:hAnsi="Arial" w:cs="Arial"/>
          <w:sz w:val="20"/>
          <w:szCs w:val="20"/>
        </w:rPr>
        <w:t>d in the legend to Figure 2</w:t>
      </w:r>
      <w:r w:rsidR="00A60133">
        <w:rPr>
          <w:rFonts w:ascii="Arial" w:hAnsi="Arial" w:cs="Arial"/>
          <w:sz w:val="20"/>
          <w:szCs w:val="20"/>
        </w:rPr>
        <w:t>F</w:t>
      </w:r>
      <w:r w:rsidR="00970B69" w:rsidRPr="00970B69">
        <w:rPr>
          <w:rFonts w:ascii="Arial" w:hAnsi="Arial" w:cs="Arial"/>
          <w:sz w:val="20"/>
          <w:szCs w:val="20"/>
        </w:rPr>
        <w:t>.</w:t>
      </w:r>
      <w:r w:rsidR="00970B69">
        <w:rPr>
          <w:rFonts w:ascii="Arial" w:hAnsi="Arial" w:cs="Arial"/>
          <w:sz w:val="20"/>
          <w:szCs w:val="20"/>
        </w:rPr>
        <w:t xml:space="preserve">  The </w:t>
      </w:r>
      <w:r w:rsidR="00F3187E">
        <w:rPr>
          <w:rFonts w:ascii="Arial" w:hAnsi="Arial" w:cs="Arial"/>
          <w:sz w:val="20"/>
          <w:szCs w:val="20"/>
        </w:rPr>
        <w:t xml:space="preserve">mean </w:t>
      </w:r>
      <w:r w:rsidR="00970B69">
        <w:rPr>
          <w:rFonts w:ascii="Arial" w:hAnsi="Arial" w:cs="Arial"/>
          <w:sz w:val="20"/>
          <w:szCs w:val="20"/>
        </w:rPr>
        <w:t xml:space="preserve">changes in </w:t>
      </w:r>
      <w:r w:rsidR="00F61F48">
        <w:rPr>
          <w:rFonts w:ascii="Arial" w:hAnsi="Arial" w:cs="Arial"/>
          <w:sz w:val="20"/>
          <w:szCs w:val="20"/>
        </w:rPr>
        <w:t xml:space="preserve">the </w:t>
      </w:r>
      <w:r w:rsidR="00970B69">
        <w:rPr>
          <w:rFonts w:ascii="Arial" w:hAnsi="Arial" w:cs="Arial"/>
          <w:sz w:val="20"/>
          <w:szCs w:val="20"/>
        </w:rPr>
        <w:t xml:space="preserve">FRET efficiency </w:t>
      </w:r>
      <w:r w:rsidR="00957AEA" w:rsidRPr="00957AEA">
        <w:rPr>
          <w:rFonts w:ascii="Arial" w:hAnsi="Arial" w:cs="Arial"/>
          <w:sz w:val="20"/>
          <w:szCs w:val="20"/>
        </w:rPr>
        <w:t>(</w:t>
      </w:r>
      <w:r w:rsidR="00957AEA" w:rsidRPr="00C83D7B">
        <w:rPr>
          <w:rFonts w:ascii="Arial" w:hAnsi="Arial" w:cs="Arial"/>
          <w:sz w:val="20"/>
          <w:szCs w:val="20"/>
        </w:rPr>
        <w:t>∆</w:t>
      </w:r>
      <w:proofErr w:type="spellStart"/>
      <w:r w:rsidR="00957AEA" w:rsidRPr="00C83D7B">
        <w:rPr>
          <w:rFonts w:ascii="Arial" w:hAnsi="Arial" w:cs="Arial"/>
          <w:i/>
          <w:sz w:val="20"/>
          <w:szCs w:val="20"/>
        </w:rPr>
        <w:t>E</w:t>
      </w:r>
      <w:r w:rsidR="00957AEA" w:rsidRPr="00C83D7B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DA6B74">
        <w:rPr>
          <w:rFonts w:ascii="Arial" w:hAnsi="Arial" w:cs="Arial"/>
          <w:sz w:val="20"/>
          <w:szCs w:val="20"/>
        </w:rPr>
        <w:t xml:space="preserve"> </w:t>
      </w:r>
      <w:r w:rsidR="00DA6B74">
        <w:rPr>
          <w:sz w:val="20"/>
          <w:szCs w:val="20"/>
        </w:rPr>
        <w:t>±</w:t>
      </w:r>
      <w:r w:rsidR="00DA6B74">
        <w:rPr>
          <w:rFonts w:ascii="Arial" w:hAnsi="Arial" w:cs="Arial"/>
          <w:sz w:val="20"/>
          <w:szCs w:val="20"/>
        </w:rPr>
        <w:t xml:space="preserve"> </w:t>
      </w:r>
      <w:r w:rsidR="00D0604C">
        <w:rPr>
          <w:rFonts w:ascii="Arial" w:hAnsi="Arial" w:cs="Arial"/>
          <w:sz w:val="20"/>
          <w:szCs w:val="20"/>
        </w:rPr>
        <w:t>S.D</w:t>
      </w:r>
      <w:r w:rsidR="00DA6B74">
        <w:rPr>
          <w:rFonts w:ascii="Arial" w:hAnsi="Arial" w:cs="Arial"/>
          <w:sz w:val="20"/>
          <w:szCs w:val="20"/>
        </w:rPr>
        <w:t>.</w:t>
      </w:r>
      <w:r w:rsidR="00957AEA" w:rsidRPr="00957AEA">
        <w:rPr>
          <w:rFonts w:ascii="Arial" w:hAnsi="Arial" w:cs="Arial"/>
          <w:sz w:val="20"/>
          <w:szCs w:val="20"/>
        </w:rPr>
        <w:t>)</w:t>
      </w:r>
      <w:r w:rsidR="00957AEA">
        <w:rPr>
          <w:rFonts w:ascii="Arial" w:hAnsi="Arial" w:cs="Arial"/>
          <w:sz w:val="20"/>
          <w:szCs w:val="20"/>
        </w:rPr>
        <w:t xml:space="preserve"> </w:t>
      </w:r>
      <w:r w:rsidR="00970B69">
        <w:rPr>
          <w:rFonts w:ascii="Arial" w:hAnsi="Arial" w:cs="Arial"/>
          <w:sz w:val="20"/>
          <w:szCs w:val="20"/>
        </w:rPr>
        <w:t xml:space="preserve">were compared by means of the </w:t>
      </w:r>
      <w:r w:rsidR="00970B69">
        <w:rPr>
          <w:rFonts w:ascii="Arial" w:hAnsi="Arial" w:cs="Arial"/>
          <w:i/>
          <w:sz w:val="20"/>
          <w:szCs w:val="20"/>
        </w:rPr>
        <w:t>t</w:t>
      </w:r>
      <w:r w:rsidR="00970B69">
        <w:rPr>
          <w:rFonts w:ascii="Arial" w:hAnsi="Arial" w:cs="Arial"/>
          <w:sz w:val="20"/>
          <w:szCs w:val="20"/>
        </w:rPr>
        <w:t xml:space="preserve">-statistic to obtain the </w:t>
      </w:r>
      <w:r w:rsidR="00957AEA">
        <w:rPr>
          <w:rFonts w:ascii="Arial" w:hAnsi="Arial" w:cs="Arial"/>
          <w:sz w:val="20"/>
          <w:szCs w:val="20"/>
        </w:rPr>
        <w:t xml:space="preserve">corresponding </w:t>
      </w:r>
      <w:r w:rsidR="00970B69">
        <w:rPr>
          <w:rFonts w:ascii="Arial" w:hAnsi="Arial" w:cs="Arial"/>
          <w:sz w:val="20"/>
          <w:szCs w:val="20"/>
        </w:rPr>
        <w:t>levels of significance (</w:t>
      </w:r>
      <w:r w:rsidR="00970B69">
        <w:rPr>
          <w:rFonts w:ascii="Arial" w:hAnsi="Arial" w:cs="Arial"/>
          <w:i/>
          <w:sz w:val="20"/>
          <w:szCs w:val="20"/>
        </w:rPr>
        <w:t>P</w:t>
      </w:r>
      <w:r w:rsidR="00970B69">
        <w:rPr>
          <w:rFonts w:ascii="Arial" w:hAnsi="Arial" w:cs="Arial"/>
          <w:sz w:val="20"/>
          <w:szCs w:val="20"/>
        </w:rPr>
        <w:t>)</w:t>
      </w:r>
      <w:r w:rsidR="00ED3FF1">
        <w:rPr>
          <w:rFonts w:ascii="Arial" w:hAnsi="Arial" w:cs="Arial"/>
          <w:sz w:val="20"/>
          <w:szCs w:val="20"/>
        </w:rPr>
        <w:t xml:space="preserve"> shown in the table</w:t>
      </w:r>
      <w:r w:rsidR="00970B69">
        <w:rPr>
          <w:rFonts w:ascii="Arial" w:hAnsi="Arial" w:cs="Arial"/>
          <w:sz w:val="20"/>
          <w:szCs w:val="20"/>
        </w:rPr>
        <w:t>.</w:t>
      </w:r>
      <w:r w:rsidR="00A60133">
        <w:rPr>
          <w:rFonts w:ascii="Arial" w:hAnsi="Arial" w:cs="Arial"/>
          <w:sz w:val="20"/>
          <w:szCs w:val="20"/>
        </w:rPr>
        <w:t xml:space="preserve">  The </w:t>
      </w:r>
      <w:r w:rsidR="001403F0">
        <w:rPr>
          <w:rFonts w:ascii="Arial" w:hAnsi="Arial" w:cs="Arial"/>
          <w:sz w:val="20"/>
          <w:szCs w:val="20"/>
        </w:rPr>
        <w:t xml:space="preserve">number </w:t>
      </w:r>
      <w:r w:rsidR="00A60133">
        <w:rPr>
          <w:rFonts w:ascii="Arial" w:hAnsi="Arial" w:cs="Arial"/>
          <w:sz w:val="20"/>
          <w:szCs w:val="20"/>
        </w:rPr>
        <w:t xml:space="preserve">of </w:t>
      </w:r>
      <w:r w:rsidR="00477FA6">
        <w:rPr>
          <w:rFonts w:ascii="Arial" w:hAnsi="Arial" w:cs="Arial"/>
          <w:sz w:val="20"/>
          <w:szCs w:val="20"/>
        </w:rPr>
        <w:t xml:space="preserve">cells </w:t>
      </w:r>
      <w:r w:rsidR="00A60133">
        <w:rPr>
          <w:rFonts w:ascii="Arial" w:hAnsi="Arial" w:cs="Arial"/>
          <w:sz w:val="20"/>
          <w:szCs w:val="20"/>
        </w:rPr>
        <w:t xml:space="preserve">is shown in parentheses. </w:t>
      </w:r>
      <w:r w:rsidR="00970B69">
        <w:rPr>
          <w:rFonts w:ascii="Arial" w:hAnsi="Arial" w:cs="Arial"/>
          <w:sz w:val="20"/>
          <w:szCs w:val="20"/>
        </w:rPr>
        <w:t xml:space="preserve"> </w:t>
      </w:r>
      <w:r w:rsidR="00ED3FF1">
        <w:rPr>
          <w:rFonts w:ascii="Arial" w:hAnsi="Arial" w:cs="Arial"/>
          <w:sz w:val="20"/>
          <w:szCs w:val="20"/>
        </w:rPr>
        <w:t xml:space="preserve">The levels of significance for the difference in </w:t>
      </w:r>
      <w:proofErr w:type="spellStart"/>
      <w:r w:rsidR="00ED3FF1">
        <w:rPr>
          <w:rFonts w:ascii="Arial" w:hAnsi="Arial" w:cs="Arial"/>
          <w:i/>
          <w:sz w:val="20"/>
          <w:szCs w:val="20"/>
        </w:rPr>
        <w:t>E</w:t>
      </w:r>
      <w:r w:rsidR="00ED3FF1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ED3FF1">
        <w:rPr>
          <w:rFonts w:ascii="Arial" w:hAnsi="Arial" w:cs="Arial"/>
          <w:sz w:val="20"/>
          <w:szCs w:val="20"/>
        </w:rPr>
        <w:t xml:space="preserve"> between the </w:t>
      </w:r>
      <w:r w:rsidR="00477FA6">
        <w:rPr>
          <w:rFonts w:ascii="Arial" w:hAnsi="Arial" w:cs="Arial"/>
          <w:sz w:val="20"/>
          <w:szCs w:val="20"/>
        </w:rPr>
        <w:t>vacant</w:t>
      </w:r>
      <w:r w:rsidR="00ED3F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D3FF1">
        <w:rPr>
          <w:rFonts w:ascii="Arial" w:hAnsi="Arial" w:cs="Arial"/>
          <w:sz w:val="20"/>
          <w:szCs w:val="20"/>
        </w:rPr>
        <w:t>liganded</w:t>
      </w:r>
      <w:proofErr w:type="spellEnd"/>
      <w:r w:rsidR="00ED3FF1">
        <w:rPr>
          <w:rFonts w:ascii="Arial" w:hAnsi="Arial" w:cs="Arial"/>
          <w:sz w:val="20"/>
          <w:szCs w:val="20"/>
        </w:rPr>
        <w:t xml:space="preserve"> receptor are as follows:  NMS (1 </w:t>
      </w:r>
      <w:r w:rsidR="00ED3FF1">
        <w:rPr>
          <w:rFonts w:ascii="Symbol" w:hAnsi="Symbol" w:cs="Arial"/>
          <w:i/>
          <w:sz w:val="20"/>
          <w:szCs w:val="20"/>
        </w:rPr>
        <w:t></w:t>
      </w:r>
      <w:r w:rsidR="00ED3FF1">
        <w:rPr>
          <w:rFonts w:ascii="Arial" w:hAnsi="Arial" w:cs="Arial"/>
          <w:sz w:val="20"/>
          <w:szCs w:val="20"/>
        </w:rPr>
        <w:t>M), &lt; 0.001</w:t>
      </w:r>
      <w:proofErr w:type="gramStart"/>
      <w:r w:rsidR="00ED3FF1">
        <w:rPr>
          <w:rFonts w:ascii="Arial" w:hAnsi="Arial" w:cs="Arial"/>
          <w:sz w:val="20"/>
          <w:szCs w:val="20"/>
        </w:rPr>
        <w:t>;  gallamine</w:t>
      </w:r>
      <w:proofErr w:type="gramEnd"/>
      <w:r w:rsidR="00ED3FF1">
        <w:rPr>
          <w:rFonts w:ascii="Arial" w:hAnsi="Arial" w:cs="Arial"/>
          <w:sz w:val="20"/>
          <w:szCs w:val="20"/>
        </w:rPr>
        <w:t xml:space="preserve"> (10 </w:t>
      </w:r>
      <w:proofErr w:type="spellStart"/>
      <w:r w:rsidR="00ED3FF1">
        <w:rPr>
          <w:rFonts w:ascii="Arial" w:hAnsi="Arial" w:cs="Arial"/>
          <w:sz w:val="20"/>
          <w:szCs w:val="20"/>
        </w:rPr>
        <w:t>mM</w:t>
      </w:r>
      <w:proofErr w:type="spellEnd"/>
      <w:r w:rsidR="00ED3FF1">
        <w:rPr>
          <w:rFonts w:ascii="Arial" w:hAnsi="Arial" w:cs="Arial"/>
          <w:sz w:val="20"/>
          <w:szCs w:val="20"/>
        </w:rPr>
        <w:t>), 0.</w:t>
      </w:r>
      <w:r w:rsidR="00082859">
        <w:rPr>
          <w:rFonts w:ascii="Arial" w:hAnsi="Arial" w:cs="Arial"/>
          <w:sz w:val="20"/>
          <w:szCs w:val="20"/>
        </w:rPr>
        <w:t>048</w:t>
      </w:r>
      <w:r w:rsidR="00ED3FF1">
        <w:rPr>
          <w:rFonts w:ascii="Arial" w:hAnsi="Arial" w:cs="Arial"/>
          <w:sz w:val="20"/>
          <w:szCs w:val="20"/>
        </w:rPr>
        <w:t xml:space="preserve">;  NMS (1 </w:t>
      </w:r>
      <w:r w:rsidR="00ED3FF1">
        <w:rPr>
          <w:rFonts w:ascii="Symbol" w:hAnsi="Symbol" w:cs="Arial"/>
          <w:i/>
          <w:sz w:val="20"/>
          <w:szCs w:val="20"/>
        </w:rPr>
        <w:t></w:t>
      </w:r>
      <w:r w:rsidR="00ED3FF1">
        <w:rPr>
          <w:rFonts w:ascii="Arial" w:hAnsi="Arial" w:cs="Arial"/>
          <w:sz w:val="20"/>
          <w:szCs w:val="20"/>
        </w:rPr>
        <w:t xml:space="preserve">M) + gallamine (10 </w:t>
      </w:r>
      <w:proofErr w:type="spellStart"/>
      <w:r w:rsidR="00ED3FF1">
        <w:rPr>
          <w:rFonts w:ascii="Arial" w:hAnsi="Arial" w:cs="Arial"/>
          <w:sz w:val="20"/>
          <w:szCs w:val="20"/>
        </w:rPr>
        <w:t>mM</w:t>
      </w:r>
      <w:proofErr w:type="spellEnd"/>
      <w:r w:rsidR="00ED3FF1">
        <w:rPr>
          <w:rFonts w:ascii="Arial" w:hAnsi="Arial" w:cs="Arial"/>
          <w:sz w:val="20"/>
          <w:szCs w:val="20"/>
        </w:rPr>
        <w:t>), 0.</w:t>
      </w:r>
      <w:r w:rsidR="00082859">
        <w:rPr>
          <w:rFonts w:ascii="Arial" w:hAnsi="Arial" w:cs="Arial"/>
          <w:sz w:val="20"/>
          <w:szCs w:val="20"/>
        </w:rPr>
        <w:t>010</w:t>
      </w:r>
      <w:r w:rsidR="00ED3FF1">
        <w:rPr>
          <w:rFonts w:ascii="Arial" w:hAnsi="Arial" w:cs="Arial"/>
          <w:sz w:val="20"/>
          <w:szCs w:val="20"/>
        </w:rPr>
        <w:t xml:space="preserve">;  carbachol (1 </w:t>
      </w:r>
      <w:proofErr w:type="spellStart"/>
      <w:r w:rsidR="00ED3FF1">
        <w:rPr>
          <w:rFonts w:ascii="Arial" w:hAnsi="Arial" w:cs="Arial"/>
          <w:sz w:val="20"/>
          <w:szCs w:val="20"/>
        </w:rPr>
        <w:t>mM</w:t>
      </w:r>
      <w:proofErr w:type="spellEnd"/>
      <w:r w:rsidR="00ED3FF1">
        <w:rPr>
          <w:rFonts w:ascii="Arial" w:hAnsi="Arial" w:cs="Arial"/>
          <w:sz w:val="20"/>
          <w:szCs w:val="20"/>
        </w:rPr>
        <w:t xml:space="preserve">), &lt; 0.001;  pilocarpine (1 </w:t>
      </w:r>
      <w:proofErr w:type="spellStart"/>
      <w:r w:rsidR="00ED3FF1">
        <w:rPr>
          <w:rFonts w:ascii="Arial" w:hAnsi="Arial" w:cs="Arial"/>
          <w:sz w:val="20"/>
          <w:szCs w:val="20"/>
        </w:rPr>
        <w:t>mM</w:t>
      </w:r>
      <w:proofErr w:type="spellEnd"/>
      <w:r w:rsidR="00ED3FF1">
        <w:rPr>
          <w:rFonts w:ascii="Arial" w:hAnsi="Arial" w:cs="Arial"/>
          <w:sz w:val="20"/>
          <w:szCs w:val="20"/>
        </w:rPr>
        <w:t>), 0.</w:t>
      </w:r>
      <w:r w:rsidR="00082859">
        <w:rPr>
          <w:rFonts w:ascii="Arial" w:hAnsi="Arial" w:cs="Arial"/>
          <w:sz w:val="20"/>
          <w:szCs w:val="20"/>
        </w:rPr>
        <w:t>032</w:t>
      </w:r>
      <w:r w:rsidR="00ED3FF1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8514" w:type="dxa"/>
        <w:jc w:val="center"/>
        <w:tblLayout w:type="fixed"/>
        <w:tblLook w:val="04A0" w:firstRow="1" w:lastRow="0" w:firstColumn="1" w:lastColumn="0" w:noHBand="0" w:noVBand="1"/>
      </w:tblPr>
      <w:tblGrid>
        <w:gridCol w:w="2267"/>
        <w:gridCol w:w="1440"/>
        <w:gridCol w:w="1201"/>
        <w:gridCol w:w="1202"/>
        <w:gridCol w:w="1202"/>
        <w:gridCol w:w="1202"/>
      </w:tblGrid>
      <w:tr w:rsidR="00F3187E" w:rsidTr="00F667AF">
        <w:trPr>
          <w:jc w:val="center"/>
        </w:trPr>
        <w:tc>
          <w:tcPr>
            <w:tcW w:w="2267" w:type="dxa"/>
            <w:tcBorders>
              <w:left w:val="nil"/>
              <w:bottom w:val="nil"/>
              <w:right w:val="nil"/>
            </w:tcBorders>
            <w:tcMar>
              <w:left w:w="115" w:type="dxa"/>
              <w:bottom w:w="58" w:type="dxa"/>
              <w:right w:w="115" w:type="dxa"/>
            </w:tcMar>
            <w:vAlign w:val="center"/>
          </w:tcPr>
          <w:p w:rsidR="00F3187E" w:rsidRPr="00BE578E" w:rsidRDefault="00F3187E" w:rsidP="00C83D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:rsidR="00F3187E" w:rsidRPr="00723D43" w:rsidRDefault="00F3187E" w:rsidP="003776E5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4807" w:type="dxa"/>
            <w:gridSpan w:val="4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0" w:type="dxa"/>
              <w:right w:w="115" w:type="dxa"/>
            </w:tcMar>
            <w:vAlign w:val="center"/>
          </w:tcPr>
          <w:p w:rsidR="00F3187E" w:rsidRPr="00957AEA" w:rsidRDefault="00F3187E" w:rsidP="0097517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Level of significance for differences in </w:t>
            </w:r>
            <w:r w:rsidRPr="00723D43">
              <w:rPr>
                <w:szCs w:val="22"/>
              </w:rPr>
              <w:t>∆</w:t>
            </w:r>
            <w:proofErr w:type="spellStart"/>
            <w:r w:rsidRPr="00C83D7B">
              <w:rPr>
                <w:i/>
                <w:sz w:val="22"/>
                <w:szCs w:val="22"/>
              </w:rPr>
              <w:t>E</w:t>
            </w:r>
            <w:r w:rsidRPr="00C83D7B">
              <w:rPr>
                <w:sz w:val="22"/>
                <w:szCs w:val="22"/>
                <w:vertAlign w:val="subscript"/>
              </w:rPr>
              <w:t>app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r w:rsidRPr="00C83D7B"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)</w:t>
            </w: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15" w:type="dxa"/>
              <w:bottom w:w="58" w:type="dxa"/>
              <w:right w:w="115" w:type="dxa"/>
            </w:tcMar>
            <w:vAlign w:val="bottom"/>
          </w:tcPr>
          <w:p w:rsidR="00F3187E" w:rsidRPr="00BE578E" w:rsidRDefault="00847798" w:rsidP="0084779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Ligand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87E" w:rsidRPr="00957AEA" w:rsidRDefault="00F3187E" w:rsidP="00957AE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23D43">
              <w:rPr>
                <w:szCs w:val="22"/>
              </w:rPr>
              <w:t>∆</w:t>
            </w:r>
            <w:proofErr w:type="spellStart"/>
            <w:r w:rsidRPr="00723D43">
              <w:rPr>
                <w:i/>
                <w:szCs w:val="22"/>
              </w:rPr>
              <w:t>E</w:t>
            </w:r>
            <w:r w:rsidRPr="00723D43">
              <w:rPr>
                <w:szCs w:val="22"/>
                <w:vertAlign w:val="subscript"/>
              </w:rPr>
              <w:t>app</w:t>
            </w:r>
            <w:proofErr w:type="spellEnd"/>
            <w:r>
              <w:rPr>
                <w:szCs w:val="22"/>
              </w:rPr>
              <w:t xml:space="preserve"> (</w:t>
            </w:r>
            <w:r>
              <w:rPr>
                <w:i/>
                <w:szCs w:val="22"/>
              </w:rPr>
              <w:t>%</w:t>
            </w:r>
            <w:r>
              <w:rPr>
                <w:szCs w:val="22"/>
              </w:rPr>
              <w:t>)</w:t>
            </w:r>
          </w:p>
        </w:tc>
        <w:tc>
          <w:tcPr>
            <w:tcW w:w="1201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:rsidR="00F3187E" w:rsidRPr="00BE578E" w:rsidRDefault="00F3187E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578E">
              <w:rPr>
                <w:sz w:val="22"/>
                <w:szCs w:val="22"/>
              </w:rPr>
              <w:t>NMS</w:t>
            </w: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:rsidR="00F3187E" w:rsidRPr="00BE578E" w:rsidRDefault="00F3187E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578E">
              <w:rPr>
                <w:sz w:val="22"/>
                <w:szCs w:val="22"/>
              </w:rPr>
              <w:t>Gallamine</w:t>
            </w: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:rsidR="00F3187E" w:rsidRPr="00BE578E" w:rsidRDefault="00F3187E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578E">
              <w:rPr>
                <w:sz w:val="22"/>
                <w:szCs w:val="22"/>
              </w:rPr>
              <w:t xml:space="preserve">NMS + </w:t>
            </w:r>
            <w:r>
              <w:rPr>
                <w:sz w:val="22"/>
                <w:szCs w:val="22"/>
              </w:rPr>
              <w:t>g</w:t>
            </w:r>
            <w:r w:rsidRPr="00BE578E">
              <w:rPr>
                <w:sz w:val="22"/>
                <w:szCs w:val="22"/>
              </w:rPr>
              <w:t>allamine</w:t>
            </w: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:rsidR="00F3187E" w:rsidRPr="00BE578E" w:rsidRDefault="00F3187E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578E">
              <w:rPr>
                <w:sz w:val="22"/>
                <w:szCs w:val="22"/>
              </w:rPr>
              <w:t>Carbachol</w:t>
            </w:r>
          </w:p>
        </w:tc>
      </w:tr>
      <w:tr w:rsidR="00F3187E" w:rsidTr="00F667AF">
        <w:trPr>
          <w:trHeight w:hRule="exact" w:val="72"/>
          <w:jc w:val="center"/>
        </w:trPr>
        <w:tc>
          <w:tcPr>
            <w:tcW w:w="2267" w:type="dxa"/>
            <w:tcBorders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nil"/>
              <w:bottom w:val="nil"/>
              <w:right w:val="nil"/>
            </w:tcBorders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1202" w:type="dxa"/>
            <w:tcBorders>
              <w:left w:val="nil"/>
              <w:bottom w:val="nil"/>
              <w:right w:val="nil"/>
            </w:tcBorders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1202" w:type="dxa"/>
            <w:tcBorders>
              <w:left w:val="nil"/>
              <w:bottom w:val="nil"/>
              <w:right w:val="nil"/>
            </w:tcBorders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1202" w:type="dxa"/>
            <w:tcBorders>
              <w:left w:val="nil"/>
              <w:bottom w:val="nil"/>
              <w:right w:val="nil"/>
            </w:tcBorders>
          </w:tcPr>
          <w:p w:rsidR="00F3187E" w:rsidRPr="00BE578E" w:rsidRDefault="00F3187E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:rsidR="00F3187E" w:rsidRPr="00BE578E" w:rsidRDefault="00F3187E" w:rsidP="00970B6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Pilocarpine (19)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7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 ± 4.7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3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0D6BD6">
            <w:pPr>
              <w:tabs>
                <w:tab w:val="decimal" w:pos="422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</w:t>
            </w:r>
            <w:r w:rsidR="000D6BD6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1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0.93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6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:rsidR="00F3187E" w:rsidRPr="00BE578E" w:rsidRDefault="00F3187E" w:rsidP="00970B6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Carbachol (19)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7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−21.6 ± 11.2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3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22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1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6"/>
              </w:tabs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:rsidR="00F3187E" w:rsidRPr="00BE578E" w:rsidRDefault="00F3187E" w:rsidP="001C751D">
            <w:pPr>
              <w:spacing w:after="0" w:line="240" w:lineRule="auto"/>
              <w:rPr>
                <w:sz w:val="22"/>
                <w:szCs w:val="22"/>
              </w:rPr>
            </w:pPr>
            <w:r w:rsidRPr="00BE578E">
              <w:rPr>
                <w:sz w:val="22"/>
                <w:szCs w:val="22"/>
              </w:rPr>
              <w:t xml:space="preserve">NMS + </w:t>
            </w:r>
            <w:r>
              <w:rPr>
                <w:sz w:val="22"/>
                <w:szCs w:val="22"/>
              </w:rPr>
              <w:t>g</w:t>
            </w:r>
            <w:r w:rsidRPr="00BE578E">
              <w:rPr>
                <w:sz w:val="22"/>
                <w:szCs w:val="22"/>
              </w:rPr>
              <w:t>allamine</w:t>
            </w:r>
            <w:r>
              <w:rPr>
                <w:sz w:val="22"/>
                <w:szCs w:val="22"/>
              </w:rPr>
              <w:t xml:space="preserve"> (18)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7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 ± 4.2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3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0D6BD6">
            <w:pPr>
              <w:tabs>
                <w:tab w:val="decimal" w:pos="422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</w:t>
            </w:r>
            <w:r w:rsidR="000D6BD6">
              <w:rPr>
                <w:sz w:val="22"/>
                <w:szCs w:val="22"/>
              </w:rPr>
              <w:t>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1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6"/>
              </w:tabs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:rsidR="00F3187E" w:rsidRPr="00BE578E" w:rsidRDefault="00F3187E" w:rsidP="00970B6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Gallamine (42)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7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 ± 2.0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3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22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1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6"/>
              </w:tabs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F3187E" w:rsidTr="00F667AF">
        <w:trPr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:rsidR="00F3187E" w:rsidRDefault="00F3187E" w:rsidP="00970B6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NMS (26)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7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20.2 ± 5.1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Default="00F3187E" w:rsidP="0024488B">
            <w:pPr>
              <w:tabs>
                <w:tab w:val="decimal" w:pos="387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22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1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87E" w:rsidRPr="00BE578E" w:rsidRDefault="00F3187E" w:rsidP="0024488B">
            <w:pPr>
              <w:tabs>
                <w:tab w:val="decimal" w:pos="406"/>
              </w:tabs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F3187E" w:rsidTr="00F667AF">
        <w:trPr>
          <w:trHeight w:hRule="exact" w:val="72"/>
          <w:jc w:val="center"/>
        </w:trPr>
        <w:tc>
          <w:tcPr>
            <w:tcW w:w="2267" w:type="dxa"/>
            <w:tcBorders>
              <w:top w:val="nil"/>
              <w:left w:val="nil"/>
              <w:right w:val="nil"/>
            </w:tcBorders>
            <w:tcMar>
              <w:left w:w="115" w:type="dxa"/>
              <w:right w:w="0" w:type="dxa"/>
            </w:tcMar>
          </w:tcPr>
          <w:p w:rsidR="00F3187E" w:rsidRDefault="00F3187E" w:rsidP="00970B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F3187E" w:rsidRDefault="00F3187E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</w:tcPr>
          <w:p w:rsidR="00F3187E" w:rsidRDefault="00F3187E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</w:tcPr>
          <w:p w:rsidR="00F3187E" w:rsidRDefault="00F3187E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</w:tcPr>
          <w:p w:rsidR="00F3187E" w:rsidRDefault="00F3187E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</w:tcPr>
          <w:p w:rsidR="00F3187E" w:rsidRDefault="00F3187E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0B69" w:rsidRDefault="00970B69" w:rsidP="00970B69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970B69" w:rsidRPr="005D6B87" w:rsidRDefault="00970B69" w:rsidP="00970B69">
      <w:pPr>
        <w:spacing w:line="240" w:lineRule="auto"/>
        <w:jc w:val="both"/>
        <w:rPr>
          <w:rFonts w:cs="Times"/>
          <w:sz w:val="22"/>
        </w:rPr>
      </w:pPr>
      <w:r w:rsidRPr="00970B69">
        <w:rPr>
          <w:rFonts w:ascii="Arial" w:hAnsi="Arial" w:cs="Arial"/>
          <w:sz w:val="20"/>
          <w:szCs w:val="20"/>
        </w:rPr>
        <w:t xml:space="preserve"> </w:t>
      </w:r>
    </w:p>
    <w:sectPr w:rsidR="00970B69" w:rsidRPr="005D6B87" w:rsidSect="00905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5F"/>
    <w:rsid w:val="00001802"/>
    <w:rsid w:val="00003BE4"/>
    <w:rsid w:val="00004A57"/>
    <w:rsid w:val="00006C9B"/>
    <w:rsid w:val="00007BF3"/>
    <w:rsid w:val="00007D9D"/>
    <w:rsid w:val="000133E8"/>
    <w:rsid w:val="000138D4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63F2"/>
    <w:rsid w:val="00047218"/>
    <w:rsid w:val="00047CD0"/>
    <w:rsid w:val="00051B05"/>
    <w:rsid w:val="00051FD7"/>
    <w:rsid w:val="000524BD"/>
    <w:rsid w:val="000524EA"/>
    <w:rsid w:val="00053DE4"/>
    <w:rsid w:val="00055D52"/>
    <w:rsid w:val="00056983"/>
    <w:rsid w:val="0005776C"/>
    <w:rsid w:val="00057A13"/>
    <w:rsid w:val="00061C8F"/>
    <w:rsid w:val="00064999"/>
    <w:rsid w:val="000651DB"/>
    <w:rsid w:val="000664D0"/>
    <w:rsid w:val="00066ABB"/>
    <w:rsid w:val="00067535"/>
    <w:rsid w:val="0006753C"/>
    <w:rsid w:val="00070D97"/>
    <w:rsid w:val="00071B93"/>
    <w:rsid w:val="00071C6D"/>
    <w:rsid w:val="00071C82"/>
    <w:rsid w:val="00074805"/>
    <w:rsid w:val="00077348"/>
    <w:rsid w:val="000816A6"/>
    <w:rsid w:val="00081814"/>
    <w:rsid w:val="00082859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BD6"/>
    <w:rsid w:val="000D6C08"/>
    <w:rsid w:val="000D7134"/>
    <w:rsid w:val="000D7354"/>
    <w:rsid w:val="000D797D"/>
    <w:rsid w:val="000E0FF0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03F0"/>
    <w:rsid w:val="00141657"/>
    <w:rsid w:val="00143A50"/>
    <w:rsid w:val="001452EE"/>
    <w:rsid w:val="00145E7D"/>
    <w:rsid w:val="00147DCD"/>
    <w:rsid w:val="00153AC7"/>
    <w:rsid w:val="00156DC1"/>
    <w:rsid w:val="00160C31"/>
    <w:rsid w:val="001613A5"/>
    <w:rsid w:val="0016228F"/>
    <w:rsid w:val="00163C5C"/>
    <w:rsid w:val="0016718A"/>
    <w:rsid w:val="00171B44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063F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C751D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77A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88B"/>
    <w:rsid w:val="002449C5"/>
    <w:rsid w:val="002525B1"/>
    <w:rsid w:val="00255020"/>
    <w:rsid w:val="00255EE3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288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228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6E5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3920"/>
    <w:rsid w:val="003B5A5E"/>
    <w:rsid w:val="003B5E18"/>
    <w:rsid w:val="003B6132"/>
    <w:rsid w:val="003C2CC8"/>
    <w:rsid w:val="003C434C"/>
    <w:rsid w:val="003C5717"/>
    <w:rsid w:val="003C594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324E"/>
    <w:rsid w:val="004347C4"/>
    <w:rsid w:val="00434EAA"/>
    <w:rsid w:val="004351D5"/>
    <w:rsid w:val="0043770A"/>
    <w:rsid w:val="0044615F"/>
    <w:rsid w:val="00446DE6"/>
    <w:rsid w:val="00447525"/>
    <w:rsid w:val="00447ACE"/>
    <w:rsid w:val="00447BD9"/>
    <w:rsid w:val="00451AF9"/>
    <w:rsid w:val="00452B54"/>
    <w:rsid w:val="00455BC4"/>
    <w:rsid w:val="00461C26"/>
    <w:rsid w:val="00464BBD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77FA6"/>
    <w:rsid w:val="00481136"/>
    <w:rsid w:val="00481DA7"/>
    <w:rsid w:val="004865F2"/>
    <w:rsid w:val="004941EB"/>
    <w:rsid w:val="004943B6"/>
    <w:rsid w:val="00494491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C7534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1741"/>
    <w:rsid w:val="00573719"/>
    <w:rsid w:val="00576543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13DC5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4B8D"/>
    <w:rsid w:val="00656C84"/>
    <w:rsid w:val="00657721"/>
    <w:rsid w:val="006633BF"/>
    <w:rsid w:val="00664324"/>
    <w:rsid w:val="00665B4A"/>
    <w:rsid w:val="0066796D"/>
    <w:rsid w:val="006705F5"/>
    <w:rsid w:val="00670A44"/>
    <w:rsid w:val="00673EEF"/>
    <w:rsid w:val="006751D8"/>
    <w:rsid w:val="00675971"/>
    <w:rsid w:val="0068113D"/>
    <w:rsid w:val="0068141A"/>
    <w:rsid w:val="00681B90"/>
    <w:rsid w:val="00683729"/>
    <w:rsid w:val="00685D7B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A6CBD"/>
    <w:rsid w:val="006B128F"/>
    <w:rsid w:val="006B1E34"/>
    <w:rsid w:val="006B345D"/>
    <w:rsid w:val="006B499C"/>
    <w:rsid w:val="006B5F42"/>
    <w:rsid w:val="006C092E"/>
    <w:rsid w:val="006C41F6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81F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CC3"/>
    <w:rsid w:val="00787E63"/>
    <w:rsid w:val="00790406"/>
    <w:rsid w:val="007A2446"/>
    <w:rsid w:val="007A35A2"/>
    <w:rsid w:val="007A3D14"/>
    <w:rsid w:val="007A408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4C70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2A9F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47798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1056"/>
    <w:rsid w:val="008E3164"/>
    <w:rsid w:val="008E393D"/>
    <w:rsid w:val="008F566D"/>
    <w:rsid w:val="00900A72"/>
    <w:rsid w:val="00901F9A"/>
    <w:rsid w:val="00903FFE"/>
    <w:rsid w:val="0090433E"/>
    <w:rsid w:val="00905152"/>
    <w:rsid w:val="00905F46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33E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0319"/>
    <w:rsid w:val="00943AB2"/>
    <w:rsid w:val="009441D1"/>
    <w:rsid w:val="00944687"/>
    <w:rsid w:val="00946B16"/>
    <w:rsid w:val="009474AE"/>
    <w:rsid w:val="00952295"/>
    <w:rsid w:val="00952A6D"/>
    <w:rsid w:val="00952AC0"/>
    <w:rsid w:val="009561A9"/>
    <w:rsid w:val="00957AEA"/>
    <w:rsid w:val="00960511"/>
    <w:rsid w:val="00961B28"/>
    <w:rsid w:val="00963CDB"/>
    <w:rsid w:val="00965EFC"/>
    <w:rsid w:val="009667AA"/>
    <w:rsid w:val="0096779B"/>
    <w:rsid w:val="009703D1"/>
    <w:rsid w:val="00970B69"/>
    <w:rsid w:val="00973D4A"/>
    <w:rsid w:val="00975178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6E62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4F03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0133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5732"/>
    <w:rsid w:val="00A8618C"/>
    <w:rsid w:val="00A86318"/>
    <w:rsid w:val="00A877E5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1C2A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6166"/>
    <w:rsid w:val="00B87074"/>
    <w:rsid w:val="00B91287"/>
    <w:rsid w:val="00B95774"/>
    <w:rsid w:val="00B97951"/>
    <w:rsid w:val="00BA1190"/>
    <w:rsid w:val="00BA12DC"/>
    <w:rsid w:val="00BA62E9"/>
    <w:rsid w:val="00BA7129"/>
    <w:rsid w:val="00BB4385"/>
    <w:rsid w:val="00BB75A4"/>
    <w:rsid w:val="00BC2502"/>
    <w:rsid w:val="00BC5E3F"/>
    <w:rsid w:val="00BC60D6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E578E"/>
    <w:rsid w:val="00BE6B20"/>
    <w:rsid w:val="00BF13A3"/>
    <w:rsid w:val="00BF33A1"/>
    <w:rsid w:val="00BF4018"/>
    <w:rsid w:val="00C028C1"/>
    <w:rsid w:val="00C02A59"/>
    <w:rsid w:val="00C02C3F"/>
    <w:rsid w:val="00C03E87"/>
    <w:rsid w:val="00C0484C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65A6"/>
    <w:rsid w:val="00C3756B"/>
    <w:rsid w:val="00C4106D"/>
    <w:rsid w:val="00C41EE9"/>
    <w:rsid w:val="00C42829"/>
    <w:rsid w:val="00C42DCC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3D7B"/>
    <w:rsid w:val="00C85B0F"/>
    <w:rsid w:val="00C86BC7"/>
    <w:rsid w:val="00C879CE"/>
    <w:rsid w:val="00C9206D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D6BCF"/>
    <w:rsid w:val="00CD7AA7"/>
    <w:rsid w:val="00CE008D"/>
    <w:rsid w:val="00CE2C77"/>
    <w:rsid w:val="00CF2285"/>
    <w:rsid w:val="00CF6E8C"/>
    <w:rsid w:val="00CF748B"/>
    <w:rsid w:val="00D00462"/>
    <w:rsid w:val="00D0604C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64D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217C"/>
    <w:rsid w:val="00D43AA9"/>
    <w:rsid w:val="00D46FF0"/>
    <w:rsid w:val="00D47049"/>
    <w:rsid w:val="00D47E3B"/>
    <w:rsid w:val="00D5011B"/>
    <w:rsid w:val="00D5288D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B74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171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4DE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079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1A87"/>
    <w:rsid w:val="00ED3AA6"/>
    <w:rsid w:val="00ED3FF1"/>
    <w:rsid w:val="00ED440B"/>
    <w:rsid w:val="00ED4B47"/>
    <w:rsid w:val="00ED6607"/>
    <w:rsid w:val="00ED77C8"/>
    <w:rsid w:val="00EE1608"/>
    <w:rsid w:val="00EE384F"/>
    <w:rsid w:val="00EE38BA"/>
    <w:rsid w:val="00EE3D4C"/>
    <w:rsid w:val="00EE429A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0EB0"/>
    <w:rsid w:val="00F3139C"/>
    <w:rsid w:val="00F3187E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1F48"/>
    <w:rsid w:val="00F63AC8"/>
    <w:rsid w:val="00F65E1D"/>
    <w:rsid w:val="00F667AF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290C"/>
    <w:rsid w:val="00F83534"/>
    <w:rsid w:val="00F84993"/>
    <w:rsid w:val="00F8620A"/>
    <w:rsid w:val="00F86623"/>
    <w:rsid w:val="00F9096B"/>
    <w:rsid w:val="00F90FC2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1DA3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77770A-8C57-4B7C-BC81-3DED9FF4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615F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5F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ainText">
    <w:name w:val="TA_Main_Text"/>
    <w:basedOn w:val="Normal"/>
    <w:rsid w:val="003B3920"/>
    <w:pPr>
      <w:spacing w:after="0" w:line="480" w:lineRule="auto"/>
      <w:ind w:firstLine="202"/>
      <w:jc w:val="both"/>
    </w:pPr>
    <w:rPr>
      <w:rFonts w:ascii="Times" w:eastAsia="Times New Roman" w:hAnsi="Times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B69"/>
    <w:rPr>
      <w:rFonts w:ascii="Tahoma" w:hAnsi="Tahoma" w:cs="Tahoma"/>
      <w:sz w:val="16"/>
      <w:szCs w:val="16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7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AEA"/>
    <w:rPr>
      <w:rFonts w:ascii="Times New Roman" w:hAnsi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AEA"/>
    <w:rPr>
      <w:rFonts w:ascii="Times New Roman" w:hAnsi="Times New Roman" w:cs="Times New Roman"/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B208F-5B9C-476F-A84D-E2D991FB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Rabindra Shivnaraine</dc:creator>
  <cp:lastModifiedBy>Rabindra Shivnaraine</cp:lastModifiedBy>
  <cp:revision>9</cp:revision>
  <dcterms:created xsi:type="dcterms:W3CDTF">2016-03-30T05:09:00Z</dcterms:created>
  <dcterms:modified xsi:type="dcterms:W3CDTF">2016-03-30T06:56:00Z</dcterms:modified>
</cp:coreProperties>
</file>