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955"/>
        <w:gridCol w:w="1890"/>
        <w:gridCol w:w="3505"/>
      </w:tblGrid>
      <w:tr w:rsidR="007F63A4" w:rsidTr="00E32420">
        <w:tc>
          <w:tcPr>
            <w:tcW w:w="3955" w:type="dxa"/>
            <w:shd w:val="clear" w:color="auto" w:fill="D9D9D9" w:themeFill="background1" w:themeFillShade="D9"/>
          </w:tcPr>
          <w:p w:rsidR="007F63A4" w:rsidRDefault="007F63A4">
            <w:r>
              <w:t>Item</w:t>
            </w:r>
          </w:p>
        </w:tc>
        <w:tc>
          <w:tcPr>
            <w:tcW w:w="1890" w:type="dxa"/>
            <w:shd w:val="clear" w:color="auto" w:fill="D9D9D9" w:themeFill="background1" w:themeFillShade="D9"/>
          </w:tcPr>
          <w:p w:rsidR="007F63A4" w:rsidRDefault="007F63A4">
            <w:r>
              <w:t>Value</w:t>
            </w:r>
          </w:p>
        </w:tc>
        <w:tc>
          <w:tcPr>
            <w:tcW w:w="3505" w:type="dxa"/>
            <w:shd w:val="clear" w:color="auto" w:fill="D9D9D9" w:themeFill="background1" w:themeFillShade="D9"/>
          </w:tcPr>
          <w:p w:rsidR="007F63A4" w:rsidRDefault="007F63A4">
            <w:r>
              <w:t>Source</w:t>
            </w:r>
          </w:p>
        </w:tc>
      </w:tr>
      <w:tr w:rsidR="00E32420" w:rsidTr="0015196F">
        <w:tc>
          <w:tcPr>
            <w:tcW w:w="3955"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Surface area of PM (A</w:t>
            </w:r>
            <w:r w:rsidRPr="00E32420">
              <w:rPr>
                <w:rFonts w:ascii="Times New Roman" w:hAnsi="Times New Roman" w:cs="Times New Roman"/>
                <w:vertAlign w:val="subscript"/>
              </w:rPr>
              <w:t>PM</w:t>
            </w:r>
            <w:r w:rsidRPr="00E32420">
              <w:rPr>
                <w:rFonts w:ascii="Times New Roman" w:hAnsi="Times New Roman" w:cs="Times New Roman"/>
              </w:rPr>
              <w:t>)</w:t>
            </w:r>
          </w:p>
        </w:tc>
        <w:tc>
          <w:tcPr>
            <w:tcW w:w="1890" w:type="dxa"/>
          </w:tcPr>
          <w:p w:rsidR="00E32420" w:rsidRPr="00E32420" w:rsidRDefault="00E32420" w:rsidP="00E32420">
            <w:pPr>
              <w:rPr>
                <w:rFonts w:ascii="Times New Roman" w:hAnsi="Times New Roman" w:cs="Times New Roman"/>
                <w:vertAlign w:val="superscript"/>
              </w:rPr>
            </w:pPr>
            <w:r w:rsidRPr="00E32420">
              <w:rPr>
                <w:rFonts w:ascii="Times New Roman" w:hAnsi="Times New Roman" w:cs="Times New Roman"/>
              </w:rPr>
              <w:t>78.5 μm</w:t>
            </w:r>
            <w:r w:rsidRPr="00E32420">
              <w:rPr>
                <w:rFonts w:ascii="Times New Roman" w:hAnsi="Times New Roman" w:cs="Times New Roman"/>
                <w:vertAlign w:val="superscript"/>
              </w:rPr>
              <w:t>2</w:t>
            </w:r>
          </w:p>
        </w:tc>
        <w:tc>
          <w:tcPr>
            <w:tcW w:w="3505" w:type="dxa"/>
          </w:tcPr>
          <w:p w:rsidR="00E32420" w:rsidRPr="00E32420" w:rsidRDefault="00E32420" w:rsidP="00E32420">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ZOTERO_ITEM CSL_CITATION {"citationID":"251uqf62h7","properties":{"formattedCitation":"(Layton et al., 2011)","plainCitation":"(Layton et al., 2011)"},"citationItems":[{"id":817,"uris":["http://zotero.org/users/1037602/items/ICM2ZWI7"],"uri":["http://zotero.org/users/1037602/items/ICM2ZWI7"],"itemData":{"id":817,"type":"article-journal","title":"Modeling Vesicle Traffic Reveals Unexpected Consequences for Cdc42p-Mediated Polarity Establishment","container-title":"Current Biology","page":"184-194","volume":"21","issue":"3","source":"ScienceDirect","abstract":"SummaryBackground\nPolarization in yeast has been proposed to involve a positive feedback loop whereby the polarity regulator Cdc42p orients actin cables, which deliver vesicles carrying Cdc42p to the polarization site. Previous mathematical models treating Cdc42p traffic as a membrane-free flux suggested that directed traffic would polarize Cdc42p, but it remained unclear whether Cdc42p would become polarized without the membrane-free simplifying assumption.\nResults\nWe present mathematical models that explicitly consider stochastic vesicle traffic via exocytosis and endocytosis, providing several new insights. Our findings suggest that endocytic cargo influences the timing of vesicle internalization in yeast. Moreover, our models provide quantitative support for the view that integral membrane cargo proteins would become polarized by directed vesicle traffic given the experimentally determined rates of vesicle traffic and diffusion. However, such traffic cannot effectively polarize the more rapidly diffusing Cdc42p in the model without making additional assumptions that seem implausible and lack experimental support.\nConclusions\nOur findings suggest that actin-directed vesicle traffic would perturb, rather than reinforce, polarization in yeast.","DOI":"10.1016/j.cub.2011.01.012","ISSN":"0960-9822","journalAbbreviation":"Current Biology","author":[{"family":"Layton","given":"Anita T."},{"family":"Savage","given":"Natasha S."},{"family":"Howell","given":"Audrey S."},{"family":"Carroll","given":"Susheela Y."},{"family":"Drubin","given":"David G."},{"family":"Lew","given":"Daniel J."}],"issued":{"date-parts":[["2011",2,8]]}}}],"schema":"https://github.com/citation-style-language/schema/raw/master/csl-citation.json"} </w:instrText>
            </w:r>
            <w:r>
              <w:rPr>
                <w:rFonts w:ascii="Times New Roman" w:hAnsi="Times New Roman" w:cs="Times New Roman"/>
              </w:rPr>
              <w:fldChar w:fldCharType="separate"/>
            </w:r>
            <w:r w:rsidRPr="005A1A96">
              <w:rPr>
                <w:rFonts w:ascii="Times New Roman" w:hAnsi="Times New Roman" w:cs="Times New Roman"/>
              </w:rPr>
              <w:t>(Layton et al., 2011)</w:t>
            </w:r>
            <w:r>
              <w:rPr>
                <w:rFonts w:ascii="Times New Roman" w:hAnsi="Times New Roman" w:cs="Times New Roman"/>
              </w:rPr>
              <w:fldChar w:fldCharType="end"/>
            </w:r>
          </w:p>
        </w:tc>
      </w:tr>
      <w:tr w:rsidR="00E32420" w:rsidTr="0015196F">
        <w:tc>
          <w:tcPr>
            <w:tcW w:w="3955"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Surface area of vesicle (A</w:t>
            </w:r>
            <w:r w:rsidRPr="00E32420">
              <w:rPr>
                <w:rFonts w:ascii="Times New Roman" w:hAnsi="Times New Roman" w:cs="Times New Roman"/>
                <w:vertAlign w:val="subscript"/>
              </w:rPr>
              <w:t>V</w:t>
            </w:r>
            <w:r w:rsidRPr="00E32420">
              <w:rPr>
                <w:rFonts w:ascii="Times New Roman" w:hAnsi="Times New Roman" w:cs="Times New Roman"/>
              </w:rPr>
              <w:t>)</w:t>
            </w:r>
          </w:p>
        </w:tc>
        <w:tc>
          <w:tcPr>
            <w:tcW w:w="1890" w:type="dxa"/>
          </w:tcPr>
          <w:p w:rsidR="00E32420" w:rsidRPr="00E32420" w:rsidRDefault="00E32420" w:rsidP="00E32420">
            <w:pPr>
              <w:rPr>
                <w:rFonts w:ascii="Times New Roman" w:hAnsi="Times New Roman" w:cs="Times New Roman"/>
                <w:vertAlign w:val="superscript"/>
              </w:rPr>
            </w:pPr>
            <w:r w:rsidRPr="00E32420">
              <w:rPr>
                <w:rFonts w:ascii="Times New Roman" w:hAnsi="Times New Roman" w:cs="Times New Roman"/>
              </w:rPr>
              <w:t>.031 μm</w:t>
            </w:r>
            <w:r w:rsidRPr="00E32420">
              <w:rPr>
                <w:rFonts w:ascii="Times New Roman" w:hAnsi="Times New Roman" w:cs="Times New Roman"/>
                <w:vertAlign w:val="superscript"/>
              </w:rPr>
              <w:t>2</w:t>
            </w:r>
          </w:p>
        </w:tc>
        <w:tc>
          <w:tcPr>
            <w:tcW w:w="3505" w:type="dxa"/>
          </w:tcPr>
          <w:p w:rsidR="00E32420" w:rsidRPr="00E32420" w:rsidRDefault="00E32420" w:rsidP="00E32420">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ZOTERO_ITEM CSL_CITATION {"citationID":"251avaio7c","properties":{"formattedCitation":"(Novick et al., 1980)","plainCitation":"(Novick et al., 1980)"},"citationItems":[{"id":52,"uris":["http://zotero.org/users/1037602/items/9UVZAUXT"],"uri":["http://zotero.org/users/1037602/items/9UVZAUXT"],"itemData":{"id":52,"type":"article-journal","title":"Identification of 23 complementation groups required for post-translational events in the yeast secretory pathway","container-title":"Cell","page":"205-215","volume":"21","issue":"1","source":"ScienceDirect","abstract":"Cells of a Saccharomyces cerevisiae mutant that is temperature-sensitive for secretion and cell surface growth become dense during incubation at the non-permissive temperature (37°C). This property allows the selection of additional secretory mutants by sedimentation of mutagenized cells on a Ludox density gradient. Colonies derived from dense cells are screened for conditional growth and secretion of invertase and acid phosphatase. The sec mutant strains that accumulate an abnormally large intracellular pool of invertase at 37°C (188 mutant clones) fall into 23 complementation groups, and the distribution of mutant alleles suggests that more complementation groups could be found. Bud emergence and incorporation of a plasma membrane sulfate permease activity stop quickly after a shift to 37°C. Many of the mutants are thermoreversible; upon return to the permissive temperature (25°C) the accumulated invertase is secreted. Electron microscopy of sec mutant cells reveals, with one exception, the temperature-dependent accumulation of membrane-enclosed secretory organelles. We suggest that these structures represent intermediates in a pathway in which secretion and plasma membrane assembly are colinear.","DOI":"10.1016/0092-8674(80)90128-2","ISSN":"0092-8674","author":[{"family":"Novick","given":"Peter"},{"family":"Field","given":"Charles"},{"family":"Schekman","given":"Randy"}],"issued":{"date-parts":[["1980",8]]}}}],"schema":"https://github.com/citation-style-language/schema/raw/master/csl-citation.json"} </w:instrText>
            </w:r>
            <w:r>
              <w:rPr>
                <w:rFonts w:ascii="Times New Roman" w:hAnsi="Times New Roman" w:cs="Times New Roman"/>
              </w:rPr>
              <w:fldChar w:fldCharType="separate"/>
            </w:r>
            <w:r w:rsidRPr="005A1A96">
              <w:rPr>
                <w:rFonts w:ascii="Times New Roman" w:hAnsi="Times New Roman" w:cs="Times New Roman"/>
              </w:rPr>
              <w:t>(Novick et al., 1980)</w:t>
            </w:r>
            <w:r>
              <w:rPr>
                <w:rFonts w:ascii="Times New Roman" w:hAnsi="Times New Roman" w:cs="Times New Roman"/>
              </w:rPr>
              <w:fldChar w:fldCharType="end"/>
            </w:r>
          </w:p>
        </w:tc>
      </w:tr>
      <w:tr w:rsidR="00E32420" w:rsidTr="0015196F">
        <w:tc>
          <w:tcPr>
            <w:tcW w:w="3955"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Doubling time (t</w:t>
            </w:r>
            <w:r w:rsidRPr="00E32420">
              <w:rPr>
                <w:rFonts w:ascii="Times New Roman" w:hAnsi="Times New Roman" w:cs="Times New Roman"/>
                <w:vertAlign w:val="subscript"/>
              </w:rPr>
              <w:t>doubling</w:t>
            </w:r>
            <w:r w:rsidRPr="00E32420">
              <w:rPr>
                <w:rFonts w:ascii="Times New Roman" w:hAnsi="Times New Roman" w:cs="Times New Roman"/>
              </w:rPr>
              <w:t>)</w:t>
            </w:r>
          </w:p>
        </w:tc>
        <w:tc>
          <w:tcPr>
            <w:tcW w:w="1890"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6000 s</w:t>
            </w:r>
          </w:p>
        </w:tc>
        <w:tc>
          <w:tcPr>
            <w:tcW w:w="3505" w:type="dxa"/>
          </w:tcPr>
          <w:p w:rsidR="00E32420" w:rsidRPr="00E32420" w:rsidRDefault="00E32420" w:rsidP="00E32420">
            <w:pPr>
              <w:rPr>
                <w:rFonts w:ascii="Times New Roman" w:hAnsi="Times New Roman" w:cs="Times New Roman"/>
              </w:rPr>
            </w:pPr>
          </w:p>
        </w:tc>
      </w:tr>
      <w:tr w:rsidR="00E32420" w:rsidTr="0015196F">
        <w:tc>
          <w:tcPr>
            <w:tcW w:w="3955"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Vesicles needed for growth</w:t>
            </w:r>
          </w:p>
        </w:tc>
        <w:tc>
          <w:tcPr>
            <w:tcW w:w="1890"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.42 /s</w:t>
            </w:r>
          </w:p>
        </w:tc>
        <w:tc>
          <w:tcPr>
            <w:tcW w:w="3505" w:type="dxa"/>
          </w:tcPr>
          <w:p w:rsidR="00E32420" w:rsidRPr="00E32420" w:rsidRDefault="00E32420" w:rsidP="00E32420">
            <w:pPr>
              <w:rPr>
                <w:rFonts w:ascii="Times New Roman" w:hAnsi="Times New Roman" w:cs="Times New Roman"/>
                <w:vertAlign w:val="subscript"/>
              </w:rPr>
            </w:pPr>
            <w:r w:rsidRPr="00E32420">
              <w:rPr>
                <w:rFonts w:ascii="Times New Roman" w:hAnsi="Times New Roman" w:cs="Times New Roman"/>
              </w:rPr>
              <w:t>= (A</w:t>
            </w:r>
            <w:r w:rsidRPr="00E32420">
              <w:rPr>
                <w:rFonts w:ascii="Times New Roman" w:hAnsi="Times New Roman" w:cs="Times New Roman"/>
                <w:vertAlign w:val="subscript"/>
              </w:rPr>
              <w:t>PM</w:t>
            </w:r>
            <w:r w:rsidRPr="00E32420">
              <w:rPr>
                <w:rFonts w:ascii="Times New Roman" w:hAnsi="Times New Roman" w:cs="Times New Roman"/>
                <w:vertAlign w:val="subscript"/>
              </w:rPr>
              <w:softHyphen/>
            </w:r>
            <w:r w:rsidRPr="00E32420">
              <w:rPr>
                <w:rFonts w:ascii="Times New Roman" w:hAnsi="Times New Roman" w:cs="Times New Roman"/>
              </w:rPr>
              <w:t xml:space="preserve"> / A</w:t>
            </w:r>
            <w:r w:rsidRPr="00E32420">
              <w:rPr>
                <w:rFonts w:ascii="Times New Roman" w:hAnsi="Times New Roman" w:cs="Times New Roman"/>
                <w:vertAlign w:val="subscript"/>
              </w:rPr>
              <w:t>V</w:t>
            </w:r>
            <w:r w:rsidRPr="00E32420">
              <w:rPr>
                <w:rFonts w:ascii="Times New Roman" w:hAnsi="Times New Roman" w:cs="Times New Roman"/>
              </w:rPr>
              <w:t>) / t</w:t>
            </w:r>
            <w:r w:rsidRPr="00E32420">
              <w:rPr>
                <w:rFonts w:ascii="Times New Roman" w:hAnsi="Times New Roman" w:cs="Times New Roman"/>
                <w:vertAlign w:val="subscript"/>
              </w:rPr>
              <w:t>doubling</w:t>
            </w:r>
          </w:p>
        </w:tc>
      </w:tr>
      <w:tr w:rsidR="00E32420" w:rsidTr="0015196F">
        <w:tc>
          <w:tcPr>
            <w:tcW w:w="3955"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Vesicles needed to counter endocytosis</w:t>
            </w:r>
          </w:p>
        </w:tc>
        <w:tc>
          <w:tcPr>
            <w:tcW w:w="1890"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.42 /s</w:t>
            </w:r>
          </w:p>
        </w:tc>
        <w:tc>
          <w:tcPr>
            <w:tcW w:w="3505" w:type="dxa"/>
          </w:tcPr>
          <w:p w:rsidR="00E32420" w:rsidRPr="00E32420" w:rsidRDefault="00E32420" w:rsidP="00E32420">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ZOTERO_ITEM CSL_CITATION {"citationID":"28jr5ctip6","properties":{"formattedCitation":"(Layton et al., 2011)","plainCitation":"(Layton et al., 2011)"},"citationItems":[{"id":817,"uris":["http://zotero.org/users/1037602/items/ICM2ZWI7"],"uri":["http://zotero.org/users/1037602/items/ICM2ZWI7"],"itemData":{"id":817,"type":"article-journal","title":"Modeling Vesicle Traffic Reveals Unexpected Consequences for Cdc42p-Mediated Polarity Establishment","container-title":"Current Biology","page":"184-194","volume":"21","issue":"3","source":"ScienceDirect","abstract":"SummaryBackground\nPolarization in yeast has been proposed to involve a positive feedback loop whereby the polarity regulator Cdc42p orients actin cables, which deliver vesicles carrying Cdc42p to the polarization site. Previous mathematical models treating Cdc42p traffic as a membrane-free flux suggested that directed traffic would polarize Cdc42p, but it remained unclear whether Cdc42p would become polarized without the membrane-free simplifying assumption.\nResults\nWe present mathematical models that explicitly consider stochastic vesicle traffic via exocytosis and endocytosis, providing several new insights. Our findings suggest that endocytic cargo influences the timing of vesicle internalization in yeast. Moreover, our models provide quantitative support for the view that integral membrane cargo proteins would become polarized by directed vesicle traffic given the experimentally determined rates of vesicle traffic and diffusion. However, such traffic cannot effectively polarize the more rapidly diffusing Cdc42p in the model without making additional assumptions that seem implausible and lack experimental support.\nConclusions\nOur findings suggest that actin-directed vesicle traffic would perturb, rather than reinforce, polarization in yeast.","DOI":"10.1016/j.cub.2011.01.012","ISSN":"0960-9822","journalAbbreviation":"Current Biology","author":[{"family":"Layton","given":"Anita T."},{"family":"Savage","given":"Natasha S."},{"family":"Howell","given":"Audrey S."},{"family":"Carroll","given":"Susheela Y."},{"family":"Drubin","given":"David G."},{"family":"Lew","given":"Daniel J."}],"issued":{"date-parts":[["2011",2,8]]}}}],"schema":"https://github.com/citation-style-language/schema/raw/master/csl-citation.json"} </w:instrText>
            </w:r>
            <w:r>
              <w:rPr>
                <w:rFonts w:ascii="Times New Roman" w:hAnsi="Times New Roman" w:cs="Times New Roman"/>
              </w:rPr>
              <w:fldChar w:fldCharType="separate"/>
            </w:r>
            <w:r w:rsidRPr="005A1A96">
              <w:rPr>
                <w:rFonts w:ascii="Times New Roman" w:hAnsi="Times New Roman" w:cs="Times New Roman"/>
              </w:rPr>
              <w:t>(Layton et al., 2011)</w:t>
            </w:r>
            <w:r>
              <w:rPr>
                <w:rFonts w:ascii="Times New Roman" w:hAnsi="Times New Roman" w:cs="Times New Roman"/>
              </w:rPr>
              <w:fldChar w:fldCharType="end"/>
            </w:r>
          </w:p>
        </w:tc>
      </w:tr>
      <w:tr w:rsidR="00E32420" w:rsidTr="0015196F">
        <w:tc>
          <w:tcPr>
            <w:tcW w:w="3955"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Total exocytic vesicle rate</w:t>
            </w:r>
          </w:p>
        </w:tc>
        <w:tc>
          <w:tcPr>
            <w:tcW w:w="1890"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.84 /s</w:t>
            </w:r>
          </w:p>
        </w:tc>
        <w:tc>
          <w:tcPr>
            <w:tcW w:w="3505" w:type="dxa"/>
          </w:tcPr>
          <w:p w:rsidR="00E32420" w:rsidRPr="00E32420" w:rsidRDefault="00E32420" w:rsidP="00E32420">
            <w:pPr>
              <w:rPr>
                <w:rFonts w:ascii="Times New Roman" w:hAnsi="Times New Roman" w:cs="Times New Roman"/>
              </w:rPr>
            </w:pPr>
          </w:p>
        </w:tc>
      </w:tr>
      <w:tr w:rsidR="00E32420" w:rsidTr="0015196F">
        <w:tc>
          <w:tcPr>
            <w:tcW w:w="3955"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Arf1 density in COPI coat</w:t>
            </w:r>
          </w:p>
        </w:tc>
        <w:tc>
          <w:tcPr>
            <w:tcW w:w="1890"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20,000 /μm</w:t>
            </w:r>
            <w:r w:rsidRPr="00E32420">
              <w:rPr>
                <w:rFonts w:ascii="Times New Roman" w:hAnsi="Times New Roman" w:cs="Times New Roman"/>
                <w:vertAlign w:val="superscript"/>
              </w:rPr>
              <w:t>2</w:t>
            </w:r>
          </w:p>
        </w:tc>
        <w:tc>
          <w:tcPr>
            <w:tcW w:w="3505" w:type="dxa"/>
          </w:tcPr>
          <w:p w:rsidR="00E32420" w:rsidRPr="00E32420" w:rsidRDefault="00E32420" w:rsidP="00E32420">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ZOTERO_ITEM CSL_CITATION {"citationID":"1r9b3or0tp","properties":{"formattedCitation":"(Dodonova et al., 2015)","plainCitation":"(Dodonova et al., 2015)"},"citationItems":[{"id":826,"uris":["http://zotero.org/users/1037602/items/2W7HQQA9"],"uri":["http://zotero.org/users/1037602/items/2W7HQQA9"],"itemData":{"id":826,"type":"article-journal","title":"A structure of the COPI coat and the role of coat proteins in membrane vesicle assembly","container-title":"Science","page":"195-198","volume":"349","issue":"6244","source":"www.sciencemag.org","abstract":"A coat of many components\nThe formation of coated trafficking vesicles is among the most fundamental of cellular processes. COP1 transport vesicles are involved in retrograde membrane trafficking in the Golgi apparatus and endoplasmic reticulum. Dodonova et al. applied cryo–electron tomography to determine the structure of the COPI coat in its fully assembled form on budded vesicles (see the Perspective by Noble and Stagg). They combined structural data with cross-linking mass spectrometry to generate a complete molecular model. The model suggests a mechanism of coat assembly in which coat proteins cluster via flexible interactions instead of forming a protein cage on the membrane.\nScience, this issue p. 195; see also p. 142\nTransport of material within cells is mediated by trafficking vesicles that bud from one cellular compartment and fuse with another. Formation of a trafficking vesicle is driven by membrane coats that localize cargo and polymerize into cages to bend the membrane. Although extensive structural information is available for components of these coats, the heterogeneity of trafficking vesicles has prevented an understanding of how complete membrane coats assemble on the membrane. We combined cryo–electron tomography, subtomogram averaging, and cross-linking mass spectrometry to derive a complete model of the assembled coat protein complex I (COPI) coat involved in traffic between the Golgi and the endoplasmic reticulum. The highly interconnected COPI coat structure contradicted the current “adaptor-and-cage” understanding of coated vesicle formation.","DOI":"10.1126/science.aab1121","ISSN":"0036-8075, 1095-9203","note":"PMID: 26160949","journalAbbreviation":"Science","language":"en","author":[{"family":"Dodonova","given":"S. O."},{"family":"Diestelkoetter-Bachert","given":"P."},{"family":"Appen","given":"A.","dropping-particle":"von"},{"family":"Hagen","given":"W. J. H."},{"family":"Beck","given":"R."},{"family":"Beck","given":"M."},{"family":"Wieland","given":"F."},{"family":"Briggs","given":"J. a. G."}],"issued":{"date-parts":[["2015",7,10]]},"PMID":"26160949"}}],"schema":"https://github.com/citation-style-language/schema/raw/master/csl-citation.json"} </w:instrText>
            </w:r>
            <w:r>
              <w:rPr>
                <w:rFonts w:ascii="Times New Roman" w:hAnsi="Times New Roman" w:cs="Times New Roman"/>
              </w:rPr>
              <w:fldChar w:fldCharType="separate"/>
            </w:r>
            <w:r w:rsidRPr="005A1A96">
              <w:rPr>
                <w:rFonts w:ascii="Times New Roman" w:hAnsi="Times New Roman" w:cs="Times New Roman"/>
              </w:rPr>
              <w:t>(Dodonova et al., 2015)</w:t>
            </w:r>
            <w:r>
              <w:rPr>
                <w:rFonts w:ascii="Times New Roman" w:hAnsi="Times New Roman" w:cs="Times New Roman"/>
              </w:rPr>
              <w:fldChar w:fldCharType="end"/>
            </w:r>
          </w:p>
        </w:tc>
      </w:tr>
      <w:tr w:rsidR="00E32420" w:rsidTr="0015196F">
        <w:tc>
          <w:tcPr>
            <w:tcW w:w="3955"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Arf1 proteins per vesicle</w:t>
            </w:r>
          </w:p>
        </w:tc>
        <w:tc>
          <w:tcPr>
            <w:tcW w:w="1890"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620</w:t>
            </w:r>
          </w:p>
        </w:tc>
        <w:tc>
          <w:tcPr>
            <w:tcW w:w="3505"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 density / area</w:t>
            </w:r>
          </w:p>
        </w:tc>
      </w:tr>
      <w:tr w:rsidR="00E32420" w:rsidTr="0015196F">
        <w:tc>
          <w:tcPr>
            <w:tcW w:w="3955"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Arf1 exocytosis rate</w:t>
            </w:r>
          </w:p>
        </w:tc>
        <w:tc>
          <w:tcPr>
            <w:tcW w:w="1890"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520.8 /s</w:t>
            </w:r>
          </w:p>
        </w:tc>
        <w:tc>
          <w:tcPr>
            <w:tcW w:w="3505"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 protein count * vesicle rate</w:t>
            </w:r>
          </w:p>
        </w:tc>
      </w:tr>
      <w:tr w:rsidR="00E32420" w:rsidTr="0015196F">
        <w:tc>
          <w:tcPr>
            <w:tcW w:w="3955"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Yeast cell volume</w:t>
            </w:r>
          </w:p>
        </w:tc>
        <w:tc>
          <w:tcPr>
            <w:tcW w:w="1890" w:type="dxa"/>
          </w:tcPr>
          <w:p w:rsidR="00E32420" w:rsidRPr="00E32420" w:rsidRDefault="00E32420" w:rsidP="00E32420">
            <w:pPr>
              <w:rPr>
                <w:rFonts w:ascii="Times New Roman" w:hAnsi="Times New Roman" w:cs="Times New Roman"/>
                <w:vertAlign w:val="superscript"/>
              </w:rPr>
            </w:pPr>
            <w:r w:rsidRPr="00E32420">
              <w:rPr>
                <w:rFonts w:ascii="Times New Roman" w:hAnsi="Times New Roman" w:cs="Times New Roman"/>
              </w:rPr>
              <w:t>65 μm</w:t>
            </w:r>
            <w:r w:rsidRPr="00E32420">
              <w:rPr>
                <w:rFonts w:ascii="Times New Roman" w:hAnsi="Times New Roman" w:cs="Times New Roman"/>
                <w:vertAlign w:val="superscript"/>
              </w:rPr>
              <w:t>3</w:t>
            </w:r>
          </w:p>
        </w:tc>
        <w:tc>
          <w:tcPr>
            <w:tcW w:w="3505" w:type="dxa"/>
          </w:tcPr>
          <w:p w:rsidR="00E32420" w:rsidRPr="00E32420" w:rsidRDefault="00E32420" w:rsidP="00E32420">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ZOTERO_ITEM CSL_CITATION {"citationID":"7fri6cjp0","properties":{"formattedCitation":"(Layton et al., 2011)","plainCitation":"(Layton et al., 2011)"},"citationItems":[{"id":817,"uris":["http://zotero.org/users/1037602/items/ICM2ZWI7"],"uri":["http://zotero.org/users/1037602/items/ICM2ZWI7"],"itemData":{"id":817,"type":"article-journal","title":"Modeling Vesicle Traffic Reveals Unexpected Consequences for Cdc42p-Mediated Polarity Establishment","container-title":"Current Biology","page":"184-194","volume":"21","issue":"3","source":"ScienceDirect","abstract":"SummaryBackground\nPolarization in yeast has been proposed to involve a positive feedback loop whereby the polarity regulator Cdc42p orients actin cables, which deliver vesicles carrying Cdc42p to the polarization site. Previous mathematical models treating Cdc42p traffic as a membrane-free flux suggested that directed traffic would polarize Cdc42p, but it remained unclear whether Cdc42p would become polarized without the membrane-free simplifying assumption.\nResults\nWe present mathematical models that explicitly consider stochastic vesicle traffic via exocytosis and endocytosis, providing several new insights. Our findings suggest that endocytic cargo influences the timing of vesicle internalization in yeast. Moreover, our models provide quantitative support for the view that integral membrane cargo proteins would become polarized by directed vesicle traffic given the experimentally determined rates of vesicle traffic and diffusion. However, such traffic cannot effectively polarize the more rapidly diffusing Cdc42p in the model without making additional assumptions that seem implausible and lack experimental support.\nConclusions\nOur findings suggest that actin-directed vesicle traffic would perturb, rather than reinforce, polarization in yeast.","DOI":"10.1016/j.cub.2011.01.012","ISSN":"0960-9822","journalAbbreviation":"Current Biology","author":[{"family":"Layton","given":"Anita T."},{"family":"Savage","given":"Natasha S."},{"family":"Howell","given":"Audrey S."},{"family":"Carroll","given":"Susheela Y."},{"family":"Drubin","given":"David G."},{"family":"Lew","given":"Daniel J."}],"issued":{"date-parts":[["2011",2,8]]}}}],"schema":"https://github.com/citation-style-language/schema/raw/master/csl-citation.json"} </w:instrText>
            </w:r>
            <w:r>
              <w:rPr>
                <w:rFonts w:ascii="Times New Roman" w:hAnsi="Times New Roman" w:cs="Times New Roman"/>
              </w:rPr>
              <w:fldChar w:fldCharType="separate"/>
            </w:r>
            <w:r w:rsidRPr="005A1A96">
              <w:rPr>
                <w:rFonts w:ascii="Times New Roman" w:hAnsi="Times New Roman" w:cs="Times New Roman"/>
              </w:rPr>
              <w:t>(Layton et al., 2011)</w:t>
            </w:r>
            <w:r>
              <w:rPr>
                <w:rFonts w:ascii="Times New Roman" w:hAnsi="Times New Roman" w:cs="Times New Roman"/>
              </w:rPr>
              <w:fldChar w:fldCharType="end"/>
            </w:r>
          </w:p>
        </w:tc>
      </w:tr>
      <w:tr w:rsidR="00E32420" w:rsidTr="0015196F">
        <w:tc>
          <w:tcPr>
            <w:tcW w:w="3955"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Arf1 activation</w:t>
            </w:r>
            <w:r w:rsidR="00E07712">
              <w:rPr>
                <w:rFonts w:ascii="Times New Roman" w:hAnsi="Times New Roman" w:cs="Times New Roman"/>
              </w:rPr>
              <w:t xml:space="preserve"> rate</w:t>
            </w:r>
          </w:p>
        </w:tc>
        <w:tc>
          <w:tcPr>
            <w:tcW w:w="1890"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13 μM/s</w:t>
            </w:r>
          </w:p>
        </w:tc>
        <w:tc>
          <w:tcPr>
            <w:tcW w:w="3505"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 xml:space="preserve">= </w:t>
            </w:r>
            <w:r w:rsidR="00404BBA">
              <w:rPr>
                <w:rFonts w:ascii="Times New Roman" w:hAnsi="Times New Roman" w:cs="Times New Roman"/>
              </w:rPr>
              <w:t xml:space="preserve">exocytosis </w:t>
            </w:r>
            <w:r w:rsidRPr="00E32420">
              <w:rPr>
                <w:rFonts w:ascii="Times New Roman" w:hAnsi="Times New Roman" w:cs="Times New Roman"/>
              </w:rPr>
              <w:t>rate /</w:t>
            </w:r>
            <w:r w:rsidR="00404BBA">
              <w:rPr>
                <w:rFonts w:ascii="Times New Roman" w:hAnsi="Times New Roman" w:cs="Times New Roman"/>
              </w:rPr>
              <w:t xml:space="preserve"> cell</w:t>
            </w:r>
            <w:r w:rsidRPr="00E32420">
              <w:rPr>
                <w:rFonts w:ascii="Times New Roman" w:hAnsi="Times New Roman" w:cs="Times New Roman"/>
              </w:rPr>
              <w:t xml:space="preserve"> volume</w:t>
            </w:r>
          </w:p>
        </w:tc>
      </w:tr>
      <w:tr w:rsidR="00E32420" w:rsidTr="0015196F">
        <w:tc>
          <w:tcPr>
            <w:tcW w:w="3955"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Sec7 molecules per cell</w:t>
            </w:r>
          </w:p>
        </w:tc>
        <w:tc>
          <w:tcPr>
            <w:tcW w:w="1890"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243</w:t>
            </w:r>
          </w:p>
        </w:tc>
        <w:tc>
          <w:tcPr>
            <w:tcW w:w="3505" w:type="dxa"/>
          </w:tcPr>
          <w:p w:rsidR="00E32420" w:rsidRPr="00E32420" w:rsidRDefault="00E32420" w:rsidP="00E32420">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ZOTERO_ITEM CSL_CITATION {"citationID":"h98v6dcsv","properties":{"formattedCitation":"(Chong et al., 2015)","plainCitation":"(Chong et al., 2015)"},"citationItems":[{"id":814,"uris":["http://zotero.org/users/1037602/items/EDA9KQEK"],"uri":["http://zotero.org/users/1037602/items/EDA9KQEK"],"itemData":{"id":814,"type":"article-journal","title":"Yeast Proteome Dynamics from Single Cell Imaging and Automated Analysis","container-title":"Cell","page":"1413-1424","volume":"161","issue":"6","source":"ScienceDirect","abstract":"Summary\nProteomics has proved invaluable in generating large-scale quantitative data; however, the development of systems approaches for examining the proteome in vivo has lagged behind. To evaluate protein abundance and localization on a proteome scale, we exploited the yeast GFP-fusion collection in a pipeline combining automated genetics, high-throughput microscopy, and computational feature analysis. We developed an ensemble of binary classifiers to generate localization data from single-cell measurements and constructed maps of </w:instrText>
            </w:r>
            <w:r>
              <w:rPr>
                <w:rFonts w:ascii="Cambria Math" w:hAnsi="Cambria Math" w:cs="Cambria Math"/>
              </w:rPr>
              <w:instrText>∼</w:instrText>
            </w:r>
            <w:r>
              <w:rPr>
                <w:rFonts w:ascii="Times New Roman" w:hAnsi="Times New Roman" w:cs="Times New Roman"/>
              </w:rPr>
              <w:instrText xml:space="preserve">3,000 proteins connected to 16 localization classes. To survey proteome dynamics in response to different chemical and genetic stimuli, we measure proteome-wide abundance and localization and identified changes over time. We analyzed &amp;gt;20 million cells to identify dynamic proteins that redistribute among multiple localizations in hydroxyurea, rapamycin, and in an rpd3Δ background. Because our localization and abundance data are quantitative, they provide the opportunity for many types of comparative studies, single cell analyses, modeling, and prediction.\nVideo Abstract","DOI":"10.1016/j.cell.2015.04.051","ISSN":"0092-8674","journalAbbreviation":"Cell","author":[{"family":"Chong","given":"Yolanda T."},{"family":"Koh","given":"Judice L. Y."},{"family":"Friesen","given":"Helena"},{"family":"Kaluarachchi Duffy","given":"Supipi"},{"family":"Cox","given":"Michael J."},{"family":"Moses","given":"Alan"},{"family":"Moffat","given":"Jason"},{"family":"Boone","given":"Charles"},{"family":"Andrews","given":"Brenda J."}],"issued":{"date-parts":[["2015",6,4]]}}}],"schema":"https://github.com/citation-style-language/schema/raw/master/csl-citation.json"} </w:instrText>
            </w:r>
            <w:r>
              <w:rPr>
                <w:rFonts w:ascii="Times New Roman" w:hAnsi="Times New Roman" w:cs="Times New Roman"/>
              </w:rPr>
              <w:fldChar w:fldCharType="separate"/>
            </w:r>
            <w:r w:rsidRPr="005A1A96">
              <w:rPr>
                <w:rFonts w:ascii="Times New Roman" w:hAnsi="Times New Roman" w:cs="Times New Roman"/>
              </w:rPr>
              <w:t>(Chong et al., 2015)</w:t>
            </w:r>
            <w:r>
              <w:rPr>
                <w:rFonts w:ascii="Times New Roman" w:hAnsi="Times New Roman" w:cs="Times New Roman"/>
              </w:rPr>
              <w:fldChar w:fldCharType="end"/>
            </w:r>
          </w:p>
        </w:tc>
      </w:tr>
      <w:tr w:rsidR="00E32420" w:rsidTr="0015196F">
        <w:tc>
          <w:tcPr>
            <w:tcW w:w="3955"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[Sec7]</w:t>
            </w:r>
          </w:p>
        </w:tc>
        <w:tc>
          <w:tcPr>
            <w:tcW w:w="1890"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6.2 μM</w:t>
            </w:r>
          </w:p>
        </w:tc>
        <w:tc>
          <w:tcPr>
            <w:tcW w:w="3505"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 Sec7 count / N</w:t>
            </w:r>
            <w:r w:rsidRPr="00E32420">
              <w:rPr>
                <w:rFonts w:ascii="Times New Roman" w:hAnsi="Times New Roman" w:cs="Times New Roman"/>
                <w:vertAlign w:val="subscript"/>
              </w:rPr>
              <w:t>A</w:t>
            </w:r>
            <w:r w:rsidRPr="00E32420">
              <w:rPr>
                <w:rFonts w:ascii="Times New Roman" w:hAnsi="Times New Roman" w:cs="Times New Roman"/>
              </w:rPr>
              <w:t xml:space="preserve"> / cell volume</w:t>
            </w:r>
          </w:p>
        </w:tc>
      </w:tr>
      <w:tr w:rsidR="00E32420" w:rsidTr="0015196F">
        <w:tc>
          <w:tcPr>
            <w:tcW w:w="3955"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Arf1 molecules per cell</w:t>
            </w:r>
          </w:p>
        </w:tc>
        <w:tc>
          <w:tcPr>
            <w:tcW w:w="1890"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2065</w:t>
            </w:r>
          </w:p>
        </w:tc>
        <w:tc>
          <w:tcPr>
            <w:tcW w:w="3505" w:type="dxa"/>
          </w:tcPr>
          <w:p w:rsidR="00E32420" w:rsidRPr="00E32420" w:rsidRDefault="00E32420" w:rsidP="00E32420">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ZOTERO_ITEM CSL_CITATION {"citationID":"18j84318mm","properties":{"formattedCitation":"(Chong et al., 2015)","plainCitation":"(Chong et al., 2015)"},"citationItems":[{"id":814,"uris":["http://zotero.org/users/1037602/items/EDA9KQEK"],"uri":["http://zotero.org/users/1037602/items/EDA9KQEK"],"itemData":{"id":814,"type":"article-journal","title":"Yeast Proteome Dynamics from Single Cell Imaging and Automated Analysis","container-title":"Cell","page":"1413-1424","volume":"161","issue":"6","source":"ScienceDirect","abstract":"Summary\nProteomics has proved invaluable in generating large-scale quantitative data; however, the development of systems approaches for examining the proteome in vivo has lagged behind. To evaluate protein abundance and localization on a proteome scale, we exploited the yeast GFP-fusion collection in a pipeline combining automated genetics, high-throughput microscopy, and computational feature analysis. We developed an ensemble of binary classifiers to generate localization data from single-cell measurements and constructed maps of </w:instrText>
            </w:r>
            <w:r>
              <w:rPr>
                <w:rFonts w:ascii="Cambria Math" w:hAnsi="Cambria Math" w:cs="Cambria Math"/>
              </w:rPr>
              <w:instrText>∼</w:instrText>
            </w:r>
            <w:r>
              <w:rPr>
                <w:rFonts w:ascii="Times New Roman" w:hAnsi="Times New Roman" w:cs="Times New Roman"/>
              </w:rPr>
              <w:instrText xml:space="preserve">3,000 proteins connected to 16 localization classes. To survey proteome dynamics in response to different chemical and genetic stimuli, we measure proteome-wide abundance and localization and identified changes over time. We analyzed &amp;gt;20 million cells to identify dynamic proteins that redistribute among multiple localizations in hydroxyurea, rapamycin, and in an rpd3Δ background. Because our localization and abundance data are quantitative, they provide the opportunity for many types of comparative studies, single cell analyses, modeling, and prediction.\nVideo Abstract","DOI":"10.1016/j.cell.2015.04.051","ISSN":"0092-8674","journalAbbreviation":"Cell","author":[{"family":"Chong","given":"Yolanda T."},{"family":"Koh","given":"Judice L. Y."},{"family":"Friesen","given":"Helena"},{"family":"Kaluarachchi Duffy","given":"Supipi"},{"family":"Cox","given":"Michael J."},{"family":"Moses","given":"Alan"},{"family":"Moffat","given":"Jason"},{"family":"Boone","given":"Charles"},{"family":"Andrews","given":"Brenda J."}],"issued":{"date-parts":[["2015",6,4]]}}}],"schema":"https://github.com/citation-style-language/schema/raw/master/csl-citation.json"} </w:instrText>
            </w:r>
            <w:r>
              <w:rPr>
                <w:rFonts w:ascii="Times New Roman" w:hAnsi="Times New Roman" w:cs="Times New Roman"/>
              </w:rPr>
              <w:fldChar w:fldCharType="separate"/>
            </w:r>
            <w:r w:rsidRPr="005A1A96">
              <w:rPr>
                <w:rFonts w:ascii="Times New Roman" w:hAnsi="Times New Roman" w:cs="Times New Roman"/>
              </w:rPr>
              <w:t>(Chong et al., 2015)</w:t>
            </w:r>
            <w:r>
              <w:rPr>
                <w:rFonts w:ascii="Times New Roman" w:hAnsi="Times New Roman" w:cs="Times New Roman"/>
              </w:rPr>
              <w:fldChar w:fldCharType="end"/>
            </w:r>
          </w:p>
        </w:tc>
      </w:tr>
      <w:tr w:rsidR="00E32420" w:rsidTr="0015196F">
        <w:tc>
          <w:tcPr>
            <w:tcW w:w="3955"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Fraction (mammalian) Arf1 GDP-bound</w:t>
            </w:r>
          </w:p>
        </w:tc>
        <w:tc>
          <w:tcPr>
            <w:tcW w:w="1890"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.66</w:t>
            </w:r>
          </w:p>
        </w:tc>
        <w:tc>
          <w:tcPr>
            <w:tcW w:w="3505" w:type="dxa"/>
          </w:tcPr>
          <w:p w:rsidR="00E32420" w:rsidRPr="00E32420" w:rsidRDefault="00E32420" w:rsidP="00E32420">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ZOTERO_ITEM CSL_CITATION {"citationID":"iedilrf8q","properties":{"formattedCitation":"(Presley et al., 2002)","plainCitation":"(Presley et al., 2002)"},"citationItems":[{"id":171,"uris":["http://zotero.org/users/1037602/items/TDGW3EVB"],"uri":["http://zotero.org/users/1037602/items/TDGW3EVB"],"itemData":{"id":171,"type":"article-journal","title":"Dissection of COPI and Arf1 dynamics in vivo and role in Golgi membrane transport","container-title":"Nature","page":"187-193","volume":"417","issue":"6885","source":"www.nature.com","abstract":"Cytosolic coat proteins that bind reversibly to membranes have a central function in membrane transport within the secretory pathway1, 2. One well-studied example is COPI or coatomer, a heptameric protein complex that is recruited to membranes by the GTP-binding protein Arf1. Assembly into an electron-dense coat then helps in budding off membrane to be transported between the endoplasmic reticulum (ER) and Golgi apparatus2. Here we propose and corroborate a simple model for coatomer and Arf1 activity based on results analysing the distribution and lifetime of fluorescently labelled coatomer and Arf1 on Golgi membranes of living cells. We find that activated Arf1 brings coatomer to membranes. However, once associated with membranes, Arf1 and coatomer have different residence times: coatomer remains on membranes after Arf1-GTP has been hydrolysed and dissociated. Rapid membrane binding and dissociation of coatomer and Arf1 occur stochastically, even without vesicle budding. We propose that this continuous activity of coatomer and Arf1 generates kinetically stable membrane domains that are connected to the formation of COPI-containing transport intermediates. This role for Arf1/coatomer might provide a model for investigating the behaviour of other coat protein systems within cells.","DOI":"10.1038/417187a","ISSN":"0028-0836","language":"en","author":[{"family":"Presley","given":"John F."},{"family":"Ward","given":"Theresa H."},{"family":"Pfeifer","given":"Andrea C."},{"family":"Siggia","given":"Eric D."},{"family":"Phair","given":"Robert D."},{"family":"Lippincott-Schwartz","given":"Jennifer"}],"issued":{"date-parts":[["2002",5,9]]}}}],"schema":"https://github.com/citation-style-language/schema/raw/master/csl-citation.json"} </w:instrText>
            </w:r>
            <w:r>
              <w:rPr>
                <w:rFonts w:ascii="Times New Roman" w:hAnsi="Times New Roman" w:cs="Times New Roman"/>
              </w:rPr>
              <w:fldChar w:fldCharType="separate"/>
            </w:r>
            <w:r w:rsidRPr="005A1A96">
              <w:rPr>
                <w:rFonts w:ascii="Times New Roman" w:hAnsi="Times New Roman" w:cs="Times New Roman"/>
              </w:rPr>
              <w:t>(Presley et al., 2002)</w:t>
            </w:r>
            <w:r>
              <w:rPr>
                <w:rFonts w:ascii="Times New Roman" w:hAnsi="Times New Roman" w:cs="Times New Roman"/>
              </w:rPr>
              <w:fldChar w:fldCharType="end"/>
            </w:r>
          </w:p>
        </w:tc>
      </w:tr>
      <w:tr w:rsidR="00E32420" w:rsidTr="0015196F">
        <w:tc>
          <w:tcPr>
            <w:tcW w:w="3955"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[Arf1-GDP]</w:t>
            </w:r>
          </w:p>
        </w:tc>
        <w:tc>
          <w:tcPr>
            <w:tcW w:w="1890"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35 μM</w:t>
            </w:r>
          </w:p>
        </w:tc>
        <w:tc>
          <w:tcPr>
            <w:tcW w:w="3505"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 Arf1 count * GDP-bound / N</w:t>
            </w:r>
            <w:r w:rsidRPr="00E32420">
              <w:rPr>
                <w:rFonts w:ascii="Times New Roman" w:hAnsi="Times New Roman" w:cs="Times New Roman"/>
                <w:vertAlign w:val="subscript"/>
              </w:rPr>
              <w:t>A</w:t>
            </w:r>
            <w:r w:rsidRPr="00E32420">
              <w:rPr>
                <w:rFonts w:ascii="Times New Roman" w:hAnsi="Times New Roman" w:cs="Times New Roman"/>
              </w:rPr>
              <w:t xml:space="preserve"> / cell volume</w:t>
            </w:r>
          </w:p>
        </w:tc>
      </w:tr>
      <w:tr w:rsidR="00E32420" w:rsidTr="0015196F">
        <w:tc>
          <w:tcPr>
            <w:tcW w:w="3955"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Required rate constant</w:t>
            </w:r>
          </w:p>
        </w:tc>
        <w:tc>
          <w:tcPr>
            <w:tcW w:w="1890"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60,000 /M/s</w:t>
            </w:r>
          </w:p>
        </w:tc>
        <w:tc>
          <w:tcPr>
            <w:tcW w:w="3505" w:type="dxa"/>
          </w:tcPr>
          <w:p w:rsidR="00E32420" w:rsidRPr="00E32420" w:rsidRDefault="00E32420" w:rsidP="00E32420">
            <w:pPr>
              <w:rPr>
                <w:rFonts w:ascii="Times New Roman" w:hAnsi="Times New Roman" w:cs="Times New Roman"/>
              </w:rPr>
            </w:pPr>
            <w:r w:rsidRPr="00E32420">
              <w:rPr>
                <w:rFonts w:ascii="Times New Roman" w:hAnsi="Times New Roman" w:cs="Times New Roman"/>
              </w:rPr>
              <w:t>Arf1</w:t>
            </w:r>
            <w:r w:rsidR="00E07712">
              <w:rPr>
                <w:rFonts w:ascii="Times New Roman" w:hAnsi="Times New Roman" w:cs="Times New Roman"/>
              </w:rPr>
              <w:t xml:space="preserve"> </w:t>
            </w:r>
            <w:bookmarkStart w:id="0" w:name="_GoBack"/>
            <w:bookmarkEnd w:id="0"/>
            <w:r w:rsidR="00E07712">
              <w:rPr>
                <w:rFonts w:ascii="Times New Roman" w:hAnsi="Times New Roman" w:cs="Times New Roman"/>
              </w:rPr>
              <w:t>activation</w:t>
            </w:r>
            <w:r w:rsidRPr="00E32420">
              <w:rPr>
                <w:rFonts w:ascii="Times New Roman" w:hAnsi="Times New Roman" w:cs="Times New Roman"/>
              </w:rPr>
              <w:t xml:space="preserve"> rate = k * [Sec7] * [Arf1]</w:t>
            </w:r>
          </w:p>
        </w:tc>
      </w:tr>
    </w:tbl>
    <w:p w:rsidR="00FB3FCE" w:rsidRDefault="00FB3FCE"/>
    <w:sectPr w:rsidR="00FB3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3A4"/>
    <w:rsid w:val="0015196F"/>
    <w:rsid w:val="001F541D"/>
    <w:rsid w:val="00255A46"/>
    <w:rsid w:val="002A2504"/>
    <w:rsid w:val="00304AA1"/>
    <w:rsid w:val="00314AFA"/>
    <w:rsid w:val="00404BBA"/>
    <w:rsid w:val="00561054"/>
    <w:rsid w:val="00671AEB"/>
    <w:rsid w:val="006B2DD3"/>
    <w:rsid w:val="007F63A4"/>
    <w:rsid w:val="00B31EE1"/>
    <w:rsid w:val="00DB7341"/>
    <w:rsid w:val="00DF3E0B"/>
    <w:rsid w:val="00E020A2"/>
    <w:rsid w:val="00E07712"/>
    <w:rsid w:val="00E32420"/>
    <w:rsid w:val="00FB3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170D2A-8F28-4589-955F-A6CA0088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6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607</TotalTime>
  <Pages>1</Pages>
  <Words>2475</Words>
  <Characters>17134</Characters>
  <Application>Microsoft Office Word</Application>
  <DocSecurity>0</DocSecurity>
  <Lines>1713</Lines>
  <Paragraphs>1782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Richardson</dc:creator>
  <cp:keywords/>
  <dc:description/>
  <cp:lastModifiedBy>Brian Richardson</cp:lastModifiedBy>
  <cp:revision>3</cp:revision>
  <dcterms:created xsi:type="dcterms:W3CDTF">2015-12-01T15:31:00Z</dcterms:created>
  <dcterms:modified xsi:type="dcterms:W3CDTF">2016-01-05T19:45:00Z</dcterms:modified>
</cp:coreProperties>
</file>