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B8D" w:rsidRDefault="00620B8D" w:rsidP="00620B8D">
      <w:pPr>
        <w:tabs>
          <w:tab w:val="left" w:pos="625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Figure 3</w:t>
      </w:r>
    </w:p>
    <w:p w:rsidR="00620B8D" w:rsidRDefault="00620B8D" w:rsidP="00620B8D">
      <w:pPr>
        <w:tabs>
          <w:tab w:val="left" w:pos="6257"/>
        </w:tabs>
        <w:rPr>
          <w:b/>
          <w:sz w:val="28"/>
          <w:szCs w:val="28"/>
        </w:rPr>
      </w:pPr>
    </w:p>
    <w:p w:rsidR="00620B8D" w:rsidRDefault="00620B8D" w:rsidP="00620B8D">
      <w:pPr>
        <w:tabs>
          <w:tab w:val="left" w:pos="6257"/>
        </w:tabs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305"/>
        <w:gridCol w:w="935"/>
        <w:gridCol w:w="977"/>
        <w:gridCol w:w="845"/>
        <w:gridCol w:w="845"/>
        <w:gridCol w:w="1017"/>
        <w:gridCol w:w="1069"/>
        <w:gridCol w:w="1017"/>
      </w:tblGrid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mean</w:t>
            </w:r>
            <w:proofErr w:type="gramEnd"/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spellStart"/>
            <w:r w:rsidRPr="00415591">
              <w:t>Nav</w:t>
            </w:r>
            <w:proofErr w:type="spellEnd"/>
            <w:r w:rsidRPr="00415591">
              <w:t>-end Caspr</w:t>
            </w: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spellStart"/>
            <w:r w:rsidRPr="00415591">
              <w:t>Nav</w:t>
            </w:r>
            <w:proofErr w:type="spellEnd"/>
            <w:r w:rsidRPr="00415591">
              <w:t>-start Kv1.2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difference</w:t>
            </w:r>
            <w:proofErr w:type="gramEnd"/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spellStart"/>
            <w:r w:rsidRPr="00415591">
              <w:t>Nav</w:t>
            </w:r>
            <w:proofErr w:type="spellEnd"/>
            <w:r w:rsidRPr="00415591">
              <w:t>- end Caspr</w:t>
            </w: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spellStart"/>
            <w:r w:rsidRPr="00415591">
              <w:t>Nav</w:t>
            </w:r>
            <w:proofErr w:type="spellEnd"/>
            <w:r w:rsidRPr="00415591">
              <w:t>- start caspr2</w:t>
            </w: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difference</w:t>
            </w:r>
            <w:proofErr w:type="gramEnd"/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naïve</w:t>
            </w:r>
            <w:proofErr w:type="gramEnd"/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3.8</w:t>
            </w: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4.2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0.563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3.84</w:t>
            </w: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4.333333333</w:t>
            </w: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0.493333333</w:t>
            </w:r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neuroma</w:t>
            </w:r>
            <w:proofErr w:type="gramEnd"/>
            <w:r w:rsidRPr="00415591">
              <w:t xml:space="preserve"> </w:t>
            </w:r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4.2</w:t>
            </w: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3.3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-0.9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4.1</w:t>
            </w: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3.2</w:t>
            </w: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-0.8</w:t>
            </w:r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proximal</w:t>
            </w:r>
            <w:proofErr w:type="gramEnd"/>
            <w:r w:rsidRPr="00415591">
              <w:t xml:space="preserve"> to neuroma</w:t>
            </w:r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4.5</w:t>
            </w: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3.4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-1.1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4.2</w:t>
            </w: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3.6</w:t>
            </w: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-0.5</w:t>
            </w:r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spellStart"/>
            <w:proofErr w:type="gramStart"/>
            <w:r w:rsidRPr="00415591">
              <w:t>sem</w:t>
            </w:r>
            <w:proofErr w:type="spellEnd"/>
            <w:proofErr w:type="gramEnd"/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spellStart"/>
            <w:r w:rsidRPr="00415591">
              <w:t>Nav</w:t>
            </w:r>
            <w:proofErr w:type="spellEnd"/>
            <w:r w:rsidRPr="00415591">
              <w:t>-end Caspr</w:t>
            </w: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spellStart"/>
            <w:r w:rsidRPr="00415591">
              <w:t>Nav</w:t>
            </w:r>
            <w:proofErr w:type="spellEnd"/>
            <w:r w:rsidRPr="00415591">
              <w:t>-start Kv1.2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difference</w:t>
            </w:r>
            <w:proofErr w:type="gramEnd"/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spellStart"/>
            <w:r w:rsidRPr="00415591">
              <w:t>Nav</w:t>
            </w:r>
            <w:proofErr w:type="spellEnd"/>
            <w:r w:rsidRPr="00415591">
              <w:t>- end Caspr</w:t>
            </w: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spellStart"/>
            <w:r w:rsidRPr="00415591">
              <w:t>Nav</w:t>
            </w:r>
            <w:proofErr w:type="spellEnd"/>
            <w:r w:rsidRPr="00415591">
              <w:t>- start caspr2</w:t>
            </w: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difference</w:t>
            </w:r>
            <w:proofErr w:type="gramEnd"/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naïve</w:t>
            </w:r>
            <w:proofErr w:type="gramEnd"/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0.2</w:t>
            </w: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0.2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0.0891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0.360061022</w:t>
            </w: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0.323757142</w:t>
            </w: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0.092427968</w:t>
            </w:r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neuroma</w:t>
            </w:r>
            <w:proofErr w:type="gramEnd"/>
            <w:r w:rsidRPr="00415591">
              <w:t xml:space="preserve"> </w:t>
            </w:r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0.1</w:t>
            </w: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0.2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0.141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0.240231606</w:t>
            </w: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0.261463741</w:t>
            </w: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0.15974583</w:t>
            </w:r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proofErr w:type="gramStart"/>
            <w:r w:rsidRPr="00415591">
              <w:t>proximal</w:t>
            </w:r>
            <w:proofErr w:type="gramEnd"/>
            <w:r w:rsidRPr="00415591">
              <w:t xml:space="preserve"> to neuroma</w:t>
            </w:r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0.1</w:t>
            </w: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0.08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0.09</w:t>
            </w: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0.1</w:t>
            </w: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0.1</w:t>
            </w: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  <w:r w:rsidRPr="00415591">
              <w:t>0.1</w:t>
            </w:r>
          </w:p>
        </w:tc>
      </w:tr>
      <w:tr w:rsidR="00620B8D" w:rsidRPr="00415591" w:rsidTr="00892092">
        <w:trPr>
          <w:trHeight w:val="300"/>
        </w:trPr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2092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455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2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300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509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686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  <w:tc>
          <w:tcPr>
            <w:tcW w:w="1307" w:type="dxa"/>
            <w:noWrap/>
            <w:hideMark/>
          </w:tcPr>
          <w:p w:rsidR="00620B8D" w:rsidRPr="00415591" w:rsidRDefault="00620B8D" w:rsidP="00892092">
            <w:pPr>
              <w:tabs>
                <w:tab w:val="left" w:pos="6257"/>
              </w:tabs>
            </w:pPr>
          </w:p>
        </w:tc>
      </w:tr>
    </w:tbl>
    <w:p w:rsidR="001155E9" w:rsidRDefault="001155E9">
      <w:bookmarkStart w:id="0" w:name="_GoBack"/>
      <w:bookmarkEnd w:id="0"/>
    </w:p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8D"/>
    <w:rsid w:val="001155E9"/>
    <w:rsid w:val="0062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A486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0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0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Macintosh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1</cp:revision>
  <dcterms:created xsi:type="dcterms:W3CDTF">2016-03-14T16:18:00Z</dcterms:created>
  <dcterms:modified xsi:type="dcterms:W3CDTF">2016-03-14T16:18:00Z</dcterms:modified>
</cp:coreProperties>
</file>