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D0B" w:rsidRPr="00737A48" w:rsidRDefault="00B35D0B" w:rsidP="00402F45">
      <w:pPr>
        <w:pStyle w:val="Heading2"/>
        <w:rPr>
          <w:color w:val="auto"/>
        </w:rPr>
      </w:pPr>
      <w:proofErr w:type="gramStart"/>
      <w:r w:rsidRPr="00737A48">
        <w:rPr>
          <w:color w:val="auto"/>
        </w:rPr>
        <w:t>Supplementary file 1.</w:t>
      </w:r>
      <w:proofErr w:type="gramEnd"/>
      <w:r w:rsidRPr="00737A48">
        <w:rPr>
          <w:color w:val="auto"/>
        </w:rPr>
        <w:t xml:space="preserve"> Previous proteomic studies of HIV-infected cells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5D0B" w:rsidRPr="00737A48" w:rsidTr="00CD6D4A">
        <w:trPr>
          <w:trHeight w:val="424"/>
        </w:trPr>
        <w:tc>
          <w:tcPr>
            <w:tcW w:w="3080" w:type="dxa"/>
            <w:tcBorders>
              <w:bottom w:val="double" w:sz="4" w:space="0" w:color="auto"/>
            </w:tcBorders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color w:val="auto"/>
                <w:lang w:val="en-GB"/>
              </w:rPr>
              <w:t>Study</w:t>
            </w:r>
          </w:p>
        </w:tc>
        <w:tc>
          <w:tcPr>
            <w:tcW w:w="3081" w:type="dxa"/>
            <w:tcBorders>
              <w:bottom w:val="double" w:sz="4" w:space="0" w:color="auto"/>
            </w:tcBorders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color w:val="auto"/>
                <w:lang w:val="en-GB"/>
              </w:rPr>
              <w:t>Proteomic analysis</w:t>
            </w:r>
          </w:p>
        </w:tc>
        <w:tc>
          <w:tcPr>
            <w:tcW w:w="3081" w:type="dxa"/>
            <w:tcBorders>
              <w:bottom w:val="double" w:sz="4" w:space="0" w:color="auto"/>
            </w:tcBorders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color w:val="auto"/>
                <w:lang w:val="en-GB"/>
              </w:rPr>
              <w:t>Experimental design</w:t>
            </w:r>
          </w:p>
        </w:tc>
      </w:tr>
      <w:tr w:rsidR="00B35D0B" w:rsidRPr="00737A48" w:rsidTr="00CD6D4A">
        <w:tc>
          <w:tcPr>
            <w:tcW w:w="3080" w:type="dxa"/>
            <w:tcBorders>
              <w:top w:val="double" w:sz="4" w:space="0" w:color="auto"/>
            </w:tcBorders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(Chan et al., 20</w:t>
            </w:r>
            <w:bookmarkStart w:id="0" w:name="_GoBack"/>
            <w:bookmarkEnd w:id="0"/>
            <w:r w:rsidRPr="00737A48">
              <w:rPr>
                <w:noProof/>
                <w:color w:val="auto"/>
                <w:lang w:val="en-GB"/>
              </w:rPr>
              <w:t>07)</w:t>
            </w:r>
          </w:p>
        </w:tc>
        <w:tc>
          <w:tcPr>
            <w:tcW w:w="3081" w:type="dxa"/>
            <w:tcBorders>
              <w:top w:val="double" w:sz="4" w:space="0" w:color="auto"/>
            </w:tcBorders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Whole cell proteomic analysis using an  AMT tag database and trypsin catalysed 16O/18O exchange – 3,225 host proteins </w:t>
            </w:r>
          </w:p>
        </w:tc>
        <w:tc>
          <w:tcPr>
            <w:tcW w:w="3081" w:type="dxa"/>
            <w:tcBorders>
              <w:top w:val="double" w:sz="4" w:space="0" w:color="auto"/>
            </w:tcBorders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CEMx174 cells infected </w:t>
            </w:r>
            <w:r w:rsidRPr="00737A48">
              <w:rPr>
                <w:rFonts w:ascii="Arial" w:hAnsi="Arial" w:cs="Arial"/>
                <w:i/>
                <w:sz w:val="22"/>
                <w:szCs w:val="22"/>
                <w:lang w:val="en-GB"/>
              </w:rPr>
              <w:t>in vitro</w:t>
            </w: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at 2x TCID50 for 36 h with LAI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(Ringrose et al., 2008)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2D gel-based quantitation – 1,921 protein spots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PM1 cells infected at high MOI for 42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h or low MOI for 7-10 days (“peak infection”) with LAI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(Chan et al., 2009)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label-free quantitation – 1,146 cellular proteins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Primary CD4</w:t>
            </w:r>
            <w:r w:rsidRPr="00737A48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+</w:t>
            </w: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T-cells infected at 2x TCID50 for multiple </w:t>
            </w:r>
            <w:proofErr w:type="spellStart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timepoints</w:t>
            </w:r>
            <w:proofErr w:type="spellEnd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up to 48 h with LAI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(Pathak et al., 2009)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SILAC – 651 proteins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THP cells chronically infected with IIIB strain of HIV-1 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(Rasheed et al., 2009)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2D gel-based quantitation – denominator not stated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RH9 cells infected at an MOI of 1 for various </w:t>
            </w:r>
            <w:proofErr w:type="spellStart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timepoints</w:t>
            </w:r>
            <w:proofErr w:type="spellEnd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up to 96 days with X4-tropic HIV-1 (no further details)</w:t>
            </w:r>
          </w:p>
        </w:tc>
      </w:tr>
    </w:tbl>
    <w:p w:rsidR="00B35D0B" w:rsidRPr="00737A48" w:rsidRDefault="00B35D0B" w:rsidP="00402F45">
      <w:r w:rsidRPr="00737A48"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lastRenderedPageBreak/>
              <w:t>(Kraft-Terry et al., 2011)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pulsed-SILAC – denominator not stated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Primary monocyte-derived macrophages infected at an MOI of 0.1 for multiple </w:t>
            </w:r>
            <w:proofErr w:type="spellStart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timepoints</w:t>
            </w:r>
            <w:proofErr w:type="spellEnd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up to 7 days with ADA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(Navare et al., 2012)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Whole cell proteomic analysis using </w:t>
            </w:r>
            <w:proofErr w:type="spellStart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iTRAQ</w:t>
            </w:r>
            <w:proofErr w:type="spellEnd"/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 xml:space="preserve"> – 2,847 proteins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SupT1 cells infected at an MOI of 2.5 for 4, 8 and 20 h with LAI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(Haverland et al., 2014)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SWATH-MS – 3,608 proteins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Primary monocyte-derived macrophages infected at an MOI of 1 for 5 days with ADA strain of HIV-1</w:t>
            </w:r>
          </w:p>
        </w:tc>
      </w:tr>
      <w:tr w:rsidR="00B35D0B" w:rsidRPr="00737A48" w:rsidTr="00CD6D4A">
        <w:tc>
          <w:tcPr>
            <w:tcW w:w="3080" w:type="dxa"/>
          </w:tcPr>
          <w:p w:rsidR="00B35D0B" w:rsidRPr="00737A48" w:rsidRDefault="00B35D0B" w:rsidP="00CD6D4A">
            <w:pPr>
              <w:spacing w:before="0" w:after="0"/>
              <w:rPr>
                <w:color w:val="auto"/>
                <w:highlight w:val="lightGray"/>
                <w:lang w:val="en-GB"/>
              </w:rPr>
            </w:pPr>
            <w:r w:rsidRPr="00737A48">
              <w:rPr>
                <w:noProof/>
                <w:color w:val="auto"/>
                <w:lang w:val="en-GB"/>
              </w:rPr>
              <w:t>(Arainga et al., 2015)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Whole cell proteomic analysis using SWATH-MS – denominator not stated</w:t>
            </w:r>
          </w:p>
        </w:tc>
        <w:tc>
          <w:tcPr>
            <w:tcW w:w="3081" w:type="dxa"/>
          </w:tcPr>
          <w:p w:rsidR="00B35D0B" w:rsidRPr="00737A48" w:rsidRDefault="00B35D0B" w:rsidP="00CD6D4A">
            <w:pPr>
              <w:pStyle w:val="NoSpacing"/>
              <w:spacing w:line="48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37A48">
              <w:rPr>
                <w:rFonts w:ascii="Arial" w:hAnsi="Arial" w:cs="Arial"/>
                <w:sz w:val="22"/>
                <w:szCs w:val="22"/>
                <w:lang w:val="en-GB"/>
              </w:rPr>
              <w:t>Primary monocyte-derived macrophages infected at an MOI of 0.1 for 7 days with ADA strain of HIV-1</w:t>
            </w:r>
          </w:p>
        </w:tc>
      </w:tr>
    </w:tbl>
    <w:p w:rsidR="00B35D0B" w:rsidRPr="00402F45" w:rsidRDefault="00B35D0B" w:rsidP="00402F45">
      <w:pPr>
        <w:spacing w:before="0" w:after="200" w:line="276" w:lineRule="auto"/>
        <w:rPr>
          <w:rFonts w:eastAsia="Times New Roman"/>
          <w:b/>
          <w:bCs/>
          <w:color w:val="auto"/>
          <w:sz w:val="30"/>
          <w:szCs w:val="30"/>
        </w:rPr>
      </w:pPr>
    </w:p>
    <w:p w:rsidR="003F187C" w:rsidRDefault="00B35D0B"/>
    <w:sectPr w:rsidR="003F18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B35D0B"/>
    <w:rsid w:val="0004126D"/>
    <w:rsid w:val="000606C6"/>
    <w:rsid w:val="0023286C"/>
    <w:rsid w:val="00240358"/>
    <w:rsid w:val="00B3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0B"/>
    <w:pPr>
      <w:spacing w:before="120" w:after="120" w:line="480" w:lineRule="auto"/>
    </w:pPr>
    <w:rPr>
      <w:rFonts w:ascii="Arial" w:hAnsi="Arial" w:cs="Arial"/>
      <w:color w:val="000000" w:themeColor="text1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5D0B"/>
    <w:pPr>
      <w:shd w:val="clear" w:color="auto" w:fill="FFFFFF"/>
      <w:spacing w:after="45"/>
      <w:outlineLvl w:val="1"/>
    </w:pPr>
    <w:rPr>
      <w:rFonts w:eastAsia="Times New Roman"/>
      <w:b/>
      <w:bCs/>
      <w:color w:val="973F2F"/>
    </w:rPr>
  </w:style>
  <w:style w:type="character" w:default="1" w:styleId="DefaultParagraphFont">
    <w:name w:val="Default Paragraph Font"/>
    <w:uiPriority w:val="1"/>
    <w:semiHidden/>
    <w:unhideWhenUsed/>
    <w:rsid w:val="00B35D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5D0B"/>
  </w:style>
  <w:style w:type="character" w:customStyle="1" w:styleId="Heading2Char">
    <w:name w:val="Heading 2 Char"/>
    <w:basedOn w:val="DefaultParagraphFont"/>
    <w:link w:val="Heading2"/>
    <w:uiPriority w:val="9"/>
    <w:rsid w:val="00B35D0B"/>
    <w:rPr>
      <w:rFonts w:ascii="Arial" w:eastAsia="Times New Roman" w:hAnsi="Arial" w:cs="Arial"/>
      <w:b/>
      <w:bCs/>
      <w:color w:val="973F2F"/>
      <w:shd w:val="clear" w:color="auto" w:fill="FFFFFF"/>
      <w:lang w:val="en-US"/>
    </w:rPr>
  </w:style>
  <w:style w:type="paragraph" w:styleId="NoSpacing">
    <w:name w:val="No Spacing"/>
    <w:uiPriority w:val="1"/>
    <w:qFormat/>
    <w:rsid w:val="00B35D0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35D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0B"/>
    <w:pPr>
      <w:spacing w:before="120" w:after="120" w:line="480" w:lineRule="auto"/>
    </w:pPr>
    <w:rPr>
      <w:rFonts w:ascii="Arial" w:hAnsi="Arial" w:cs="Arial"/>
      <w:color w:val="000000" w:themeColor="text1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5D0B"/>
    <w:pPr>
      <w:shd w:val="clear" w:color="auto" w:fill="FFFFFF"/>
      <w:spacing w:after="45"/>
      <w:outlineLvl w:val="1"/>
    </w:pPr>
    <w:rPr>
      <w:rFonts w:eastAsia="Times New Roman"/>
      <w:b/>
      <w:bCs/>
      <w:color w:val="973F2F"/>
    </w:rPr>
  </w:style>
  <w:style w:type="character" w:default="1" w:styleId="DefaultParagraphFont">
    <w:name w:val="Default Paragraph Font"/>
    <w:uiPriority w:val="1"/>
    <w:semiHidden/>
    <w:unhideWhenUsed/>
    <w:rsid w:val="00B35D0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5D0B"/>
  </w:style>
  <w:style w:type="character" w:customStyle="1" w:styleId="Heading2Char">
    <w:name w:val="Heading 2 Char"/>
    <w:basedOn w:val="DefaultParagraphFont"/>
    <w:link w:val="Heading2"/>
    <w:uiPriority w:val="9"/>
    <w:rsid w:val="00B35D0B"/>
    <w:rPr>
      <w:rFonts w:ascii="Arial" w:eastAsia="Times New Roman" w:hAnsi="Arial" w:cs="Arial"/>
      <w:b/>
      <w:bCs/>
      <w:color w:val="973F2F"/>
      <w:shd w:val="clear" w:color="auto" w:fill="FFFFFF"/>
      <w:lang w:val="en-US"/>
    </w:rPr>
  </w:style>
  <w:style w:type="paragraph" w:styleId="NoSpacing">
    <w:name w:val="No Spacing"/>
    <w:uiPriority w:val="1"/>
    <w:qFormat/>
    <w:rsid w:val="00B35D0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35D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 Matheson</dc:creator>
  <cp:lastModifiedBy>Nicholas Matheson</cp:lastModifiedBy>
  <cp:revision>1</cp:revision>
  <dcterms:created xsi:type="dcterms:W3CDTF">2016-09-23T04:43:00Z</dcterms:created>
  <dcterms:modified xsi:type="dcterms:W3CDTF">2016-09-23T04:45:00Z</dcterms:modified>
</cp:coreProperties>
</file>