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710"/>
        <w:gridCol w:w="2314"/>
        <w:gridCol w:w="1789"/>
        <w:gridCol w:w="817"/>
        <w:gridCol w:w="567"/>
        <w:gridCol w:w="791"/>
        <w:gridCol w:w="727"/>
        <w:gridCol w:w="1080"/>
        <w:gridCol w:w="727"/>
        <w:gridCol w:w="569"/>
        <w:gridCol w:w="791"/>
        <w:gridCol w:w="727"/>
        <w:gridCol w:w="567"/>
      </w:tblGrid>
      <w:tr w:rsidR="000E5749" w:rsidRPr="00C47E8B" w:rsidTr="003008CE">
        <w:trPr>
          <w:trHeight w:val="288"/>
        </w:trPr>
        <w:tc>
          <w:tcPr>
            <w:tcW w:w="2731" w:type="pct"/>
            <w:gridSpan w:val="5"/>
            <w:tcBorders>
              <w:top w:val="nil"/>
              <w:left w:val="nil"/>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p>
        </w:tc>
        <w:tc>
          <w:tcPr>
            <w:tcW w:w="1478" w:type="pct"/>
            <w:gridSpan w:val="5"/>
            <w:tcBorders>
              <w:top w:val="single" w:sz="8" w:space="0" w:color="auto"/>
              <w:left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Gaussian fraction</w:t>
            </w:r>
          </w:p>
        </w:tc>
        <w:tc>
          <w:tcPr>
            <w:tcW w:w="791" w:type="pct"/>
            <w:gridSpan w:val="3"/>
            <w:tcBorders>
              <w:top w:val="single" w:sz="8" w:space="0" w:color="auto"/>
              <w:left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Discrete fraction</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proofErr w:type="spellStart"/>
            <w:r w:rsidRPr="00C47E8B">
              <w:rPr>
                <w:rFonts w:eastAsia="Times New Roman" w:cs="Times New Roman"/>
                <w:b/>
                <w:bCs/>
                <w:color w:val="000000"/>
                <w:sz w:val="16"/>
                <w:szCs w:val="16"/>
              </w:rPr>
              <w:t>Fluorophore</w:t>
            </w:r>
            <w:proofErr w:type="spellEnd"/>
            <w:r w:rsidRPr="00C47E8B">
              <w:rPr>
                <w:rFonts w:eastAsia="Times New Roman" w:cs="Times New Roman"/>
                <w:b/>
                <w:bCs/>
                <w:color w:val="000000"/>
                <w:sz w:val="16"/>
                <w:szCs w:val="16"/>
              </w:rPr>
              <w:t xml:space="preserve"> configuration</w:t>
            </w:r>
          </w:p>
        </w:tc>
        <w:tc>
          <w:tcPr>
            <w:tcW w:w="87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Sample</w:t>
            </w:r>
          </w:p>
        </w:tc>
        <w:tc>
          <w:tcPr>
            <w:tcW w:w="6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Target DNA mismatch</w:t>
            </w:r>
          </w:p>
        </w:tc>
        <w:tc>
          <w:tcPr>
            <w:tcW w:w="3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DMSO</w:t>
            </w:r>
          </w:p>
        </w:tc>
        <w:tc>
          <w:tcPr>
            <w:tcW w:w="2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χ</w:t>
            </w:r>
            <w:r w:rsidRPr="00C47E8B">
              <w:rPr>
                <w:rFonts w:eastAsia="Times New Roman" w:cs="Times New Roman"/>
                <w:b/>
                <w:bCs/>
                <w:color w:val="000000"/>
                <w:sz w:val="16"/>
                <w:szCs w:val="16"/>
                <w:vertAlign w:val="superscript"/>
              </w:rPr>
              <w:t>2</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Tau (ns)</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 error</w:t>
            </w:r>
          </w:p>
        </w:tc>
        <w:tc>
          <w:tcPr>
            <w:tcW w:w="410"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FWHM (ns)</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 error</w:t>
            </w:r>
          </w:p>
        </w:tc>
        <w:tc>
          <w:tcPr>
            <w:tcW w:w="215"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α</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Tau (ns)</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 error</w:t>
            </w:r>
          </w:p>
        </w:tc>
        <w:tc>
          <w:tcPr>
            <w:tcW w:w="215" w:type="pct"/>
            <w:tcBorders>
              <w:top w:val="nil"/>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b/>
                <w:bCs/>
                <w:color w:val="000000"/>
                <w:sz w:val="16"/>
                <w:szCs w:val="16"/>
              </w:rPr>
            </w:pPr>
            <w:r w:rsidRPr="00C47E8B">
              <w:rPr>
                <w:rFonts w:eastAsia="Times New Roman" w:cs="Times New Roman"/>
                <w:b/>
                <w:bCs/>
                <w:color w:val="000000"/>
                <w:sz w:val="16"/>
                <w:szCs w:val="16"/>
              </w:rPr>
              <w:t>α</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w:t>
            </w:r>
          </w:p>
        </w:tc>
        <w:tc>
          <w:tcPr>
            <w:tcW w:w="6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2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1.41</w:t>
            </w:r>
          </w:p>
        </w:tc>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1.66</w:t>
            </w:r>
          </w:p>
        </w:tc>
        <w:tc>
          <w:tcPr>
            <w:tcW w:w="27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1.09</w:t>
            </w:r>
          </w:p>
        </w:tc>
        <w:tc>
          <w:tcPr>
            <w:tcW w:w="27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2.04</w:t>
            </w:r>
          </w:p>
        </w:tc>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4.68</w:t>
            </w:r>
          </w:p>
        </w:tc>
        <w:tc>
          <w:tcPr>
            <w:tcW w:w="27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0.007</w:t>
            </w:r>
          </w:p>
        </w:tc>
        <w:tc>
          <w:tcPr>
            <w:tcW w:w="2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20.6</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0.666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0.4</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0.006</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21.2</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1.42</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1.23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2.19</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0.007</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21.3</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1.37</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1.17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2.37</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0.007</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21.9</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1.44</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1.30</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0.87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1.59</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4.45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0.005</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22.0</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1.50</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1.96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0.007</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22.3</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 60C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1.29</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0.674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0.7</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1.86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0.008</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22.3</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DNA only, 60C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1.22</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0.4</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0.5</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4.26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22.2</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0.979</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2.23</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0.007</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20.4</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3.31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11.2</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13.5</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1.40</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1.91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1.68</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2.30</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0.008</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21.1</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1.50</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3.30</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1.72</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9.76</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1.33</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2.30</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1.97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0.5</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20.9</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3.34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24.2</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4.28</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STC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1.41</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1.58</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0.723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0.5</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1.95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0.007</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20.5</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STC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No</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1.41</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3.2</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2.22</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7.98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4.54</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15.9</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STC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1.31</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2.00</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1.78</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0.4</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0.009</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20.9</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STC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3.36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23.5</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4.55</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Δ domain III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1.28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2.12</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0.4</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0.6</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1.81</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4.49</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21.2</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Δ domain III TCC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1.31</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2.85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2.32</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5.14</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19.5</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Δ domain III STC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1.36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2.51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0.4</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2.38</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0.5</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2.46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4.53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20.7</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Δ domain III STC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1.63</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3.25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27.0</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2.67</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STC, 60C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1.46</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1.91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2.95</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0.8</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3.59</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4.42</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16.5</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WT STC, 60C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2.13</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2.99</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2.20</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14.2</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4.26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7.76</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DO</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Δ domain III STC, 60C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1.51</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0.1</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2.13</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0.3</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4.10</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4.38</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0.009</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17.4</w:t>
            </w:r>
          </w:p>
        </w:tc>
      </w:tr>
      <w:tr w:rsidR="000E5749" w:rsidRPr="00C47E8B" w:rsidTr="003008CE">
        <w:trPr>
          <w:trHeight w:val="288"/>
        </w:trPr>
        <w:tc>
          <w:tcPr>
            <w:tcW w:w="6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DA</w:t>
            </w:r>
          </w:p>
        </w:tc>
        <w:tc>
          <w:tcPr>
            <w:tcW w:w="8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Δ domain III STC, 60C</w:t>
            </w:r>
          </w:p>
        </w:tc>
        <w:tc>
          <w:tcPr>
            <w:tcW w:w="6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3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Yes</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1.78</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2.71</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0.07</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2.57</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0.09</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16.7</w:t>
            </w:r>
          </w:p>
        </w:tc>
        <w:tc>
          <w:tcPr>
            <w:tcW w:w="3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4.26</w:t>
            </w:r>
          </w:p>
        </w:tc>
        <w:tc>
          <w:tcPr>
            <w:tcW w:w="2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n/a</w:t>
            </w:r>
          </w:p>
        </w:tc>
        <w:tc>
          <w:tcPr>
            <w:tcW w:w="21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5749" w:rsidRPr="00C47E8B" w:rsidRDefault="000E5749" w:rsidP="003008CE">
            <w:pPr>
              <w:spacing w:after="0" w:line="240" w:lineRule="auto"/>
              <w:jc w:val="center"/>
              <w:rPr>
                <w:rFonts w:eastAsia="Times New Roman" w:cs="Times New Roman"/>
                <w:color w:val="000000"/>
                <w:sz w:val="16"/>
                <w:szCs w:val="16"/>
              </w:rPr>
            </w:pPr>
            <w:r w:rsidRPr="00C47E8B">
              <w:rPr>
                <w:rFonts w:eastAsia="Times New Roman" w:cs="Times New Roman"/>
                <w:color w:val="000000"/>
                <w:sz w:val="16"/>
                <w:szCs w:val="16"/>
              </w:rPr>
              <w:t>7.63</w:t>
            </w:r>
          </w:p>
        </w:tc>
      </w:tr>
    </w:tbl>
    <w:p w:rsidR="000E5749" w:rsidRDefault="000E5749" w:rsidP="000E5749">
      <w:pPr>
        <w:spacing w:line="480" w:lineRule="auto"/>
        <w:rPr>
          <w:b/>
        </w:rPr>
        <w:sectPr w:rsidR="000E5749" w:rsidSect="00C47E8B">
          <w:pgSz w:w="15840" w:h="12240" w:orient="landscape"/>
          <w:pgMar w:top="1440" w:right="1440" w:bottom="1440" w:left="1440" w:header="720" w:footer="720" w:gutter="0"/>
          <w:lnNumType w:countBy="1" w:restart="continuous"/>
          <w:cols w:space="720"/>
          <w:docGrid w:linePitch="360"/>
        </w:sectPr>
      </w:pPr>
      <w:r>
        <w:rPr>
          <w:b/>
        </w:rPr>
        <w:t>Figure 6 – figure supplement 1</w:t>
      </w:r>
    </w:p>
    <w:p w:rsidR="000E5749" w:rsidRPr="00C47E8B" w:rsidRDefault="000E5749" w:rsidP="000E5749">
      <w:pPr>
        <w:spacing w:line="480" w:lineRule="auto"/>
      </w:pPr>
      <w:r>
        <w:lastRenderedPageBreak/>
        <w:t xml:space="preserve">Fluorescence lifetime fits across all samples. Each sample was fit as the sum of one </w:t>
      </w:r>
      <w:proofErr w:type="spellStart"/>
      <w:r>
        <w:t>gaussian</w:t>
      </w:r>
      <w:proofErr w:type="spellEnd"/>
      <w:r>
        <w:t xml:space="preserve"> and one discrete lifetime. A donor only </w:t>
      </w:r>
      <w:proofErr w:type="spellStart"/>
      <w:r>
        <w:t>fluorophore</w:t>
      </w:r>
      <w:proofErr w:type="spellEnd"/>
      <w:r>
        <w:t xml:space="preserve"> configuration indicates that the Atto647N FRET acceptor </w:t>
      </w:r>
      <w:proofErr w:type="spellStart"/>
      <w:r>
        <w:t>fluorophore</w:t>
      </w:r>
      <w:proofErr w:type="spellEnd"/>
      <w:r>
        <w:t xml:space="preserve"> was omitted from the target DNA. In the case of DNA only and Donor only samples, no variables were held constant. In samples with transpososomes present, the discrete lifetime from the matching DNA-only sample was held constant (and thus has no associated error) in order to account for an unbound/unbent/singly-labeled fraction. FWHM: Full width at half maximum. TCC: target capture complex, CDCs lacking the 3’OH strand transfer nucleophile were used. STC: strand transfer complex, CDCs fully capable of strand transfer were used. </w:t>
      </w:r>
      <w:r>
        <w:rPr>
          <w:rFonts w:cs="Times New Roman"/>
        </w:rPr>
        <w:t>α</w:t>
      </w:r>
      <w:r>
        <w:t xml:space="preserve"> refers to the pre-exponential factor for the decay component. DO, Donor </w:t>
      </w:r>
      <w:proofErr w:type="spellStart"/>
      <w:r>
        <w:t>fluorophore</w:t>
      </w:r>
      <w:proofErr w:type="spellEnd"/>
      <w:r>
        <w:t xml:space="preserve"> only; DA, Donor and Acceptor </w:t>
      </w:r>
      <w:proofErr w:type="spellStart"/>
      <w:r>
        <w:t>fluorophores</w:t>
      </w:r>
      <w:proofErr w:type="spellEnd"/>
      <w:r>
        <w:t xml:space="preserve"> present.</w:t>
      </w:r>
    </w:p>
    <w:p w:rsidR="00831601" w:rsidRDefault="00831601">
      <w:bookmarkStart w:id="0" w:name="_GoBack"/>
      <w:bookmarkEnd w:id="0"/>
    </w:p>
    <w:sectPr w:rsidR="00831601" w:rsidSect="00C47E8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49"/>
    <w:rsid w:val="000E5749"/>
    <w:rsid w:val="00831601"/>
    <w:rsid w:val="00C41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3C9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49"/>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E57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49"/>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E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Macintosh Word</Application>
  <DocSecurity>0</DocSecurity>
  <Lines>19</Lines>
  <Paragraphs>5</Paragraphs>
  <ScaleCrop>false</ScaleCrop>
  <Company>The University of Chicago</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Rice</dc:creator>
  <cp:keywords/>
  <dc:description/>
  <cp:lastModifiedBy>Phoebe Rice</cp:lastModifiedBy>
  <cp:revision>1</cp:revision>
  <dcterms:created xsi:type="dcterms:W3CDTF">2017-01-31T20:31:00Z</dcterms:created>
  <dcterms:modified xsi:type="dcterms:W3CDTF">2017-01-31T20:32:00Z</dcterms:modified>
</cp:coreProperties>
</file>