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4BDF0" w14:textId="0F987EAC" w:rsidR="000901A1" w:rsidRPr="00DC30E8" w:rsidRDefault="000901A1" w:rsidP="00DC30E8">
      <w:pPr>
        <w:spacing w:line="360" w:lineRule="auto"/>
        <w:jc w:val="right"/>
        <w:rPr>
          <w:rFonts w:ascii="Arial" w:hAnsi="Arial"/>
          <w:b/>
        </w:rPr>
      </w:pPr>
      <w:r w:rsidRPr="00DC30E8">
        <w:rPr>
          <w:rFonts w:ascii="Arial" w:hAnsi="Arial"/>
          <w:b/>
        </w:rPr>
        <w:t>Figure 4</w:t>
      </w:r>
      <w:r w:rsidR="000641EA" w:rsidRPr="00DC30E8">
        <w:rPr>
          <w:rFonts w:ascii="Arial" w:hAnsi="Arial"/>
          <w:b/>
        </w:rPr>
        <w:t xml:space="preserve"> </w:t>
      </w:r>
      <w:r w:rsidRPr="00DC30E8">
        <w:rPr>
          <w:rFonts w:ascii="Arial" w:hAnsi="Arial"/>
          <w:b/>
        </w:rPr>
        <w:t>- figure supplement 3</w:t>
      </w:r>
    </w:p>
    <w:p w14:paraId="1AD5C14A" w14:textId="77777777" w:rsidR="000901A1" w:rsidRPr="000901A1" w:rsidRDefault="000901A1" w:rsidP="007C5075">
      <w:pPr>
        <w:spacing w:line="360" w:lineRule="auto"/>
        <w:rPr>
          <w:rFonts w:ascii="Arial" w:hAnsi="Arial"/>
          <w:b/>
          <w:sz w:val="28"/>
          <w:szCs w:val="28"/>
        </w:rPr>
      </w:pPr>
    </w:p>
    <w:p w14:paraId="24538E8B" w14:textId="77777777" w:rsidR="000901A1" w:rsidRPr="000901A1" w:rsidRDefault="000901A1" w:rsidP="007C5075">
      <w:pPr>
        <w:spacing w:line="360" w:lineRule="auto"/>
        <w:jc w:val="center"/>
        <w:rPr>
          <w:rFonts w:ascii="Arial" w:hAnsi="Arial"/>
          <w:b/>
          <w:sz w:val="28"/>
          <w:szCs w:val="28"/>
        </w:rPr>
      </w:pPr>
    </w:p>
    <w:p w14:paraId="7C6A1D07" w14:textId="0FC95BE9" w:rsidR="00B250DC" w:rsidRPr="00DC30E8" w:rsidRDefault="00B250DC" w:rsidP="007C5075">
      <w:pPr>
        <w:spacing w:line="360" w:lineRule="auto"/>
        <w:jc w:val="center"/>
        <w:rPr>
          <w:rFonts w:ascii="Arial" w:hAnsi="Arial"/>
          <w:b/>
        </w:rPr>
      </w:pPr>
      <w:r w:rsidRPr="00DC30E8">
        <w:rPr>
          <w:rFonts w:ascii="Arial" w:hAnsi="Arial"/>
          <w:b/>
        </w:rPr>
        <w:t>Linear Regression</w:t>
      </w:r>
      <w:r w:rsidR="000901A1" w:rsidRPr="00DC30E8">
        <w:rPr>
          <w:rFonts w:ascii="Arial" w:hAnsi="Arial"/>
          <w:b/>
        </w:rPr>
        <w:t xml:space="preserve"> Model</w:t>
      </w:r>
    </w:p>
    <w:p w14:paraId="0065DAD0" w14:textId="77777777" w:rsidR="008F468D" w:rsidRPr="000901A1" w:rsidRDefault="008F468D" w:rsidP="007C5075">
      <w:pPr>
        <w:spacing w:line="360" w:lineRule="auto"/>
        <w:rPr>
          <w:rFonts w:ascii="Arial" w:hAnsi="Arial"/>
          <w:b/>
          <w:sz w:val="28"/>
          <w:szCs w:val="28"/>
        </w:rPr>
      </w:pPr>
    </w:p>
    <w:p w14:paraId="6052512B" w14:textId="3AD7A9D3" w:rsidR="000901A1" w:rsidRDefault="000901A1" w:rsidP="007C5075">
      <w:pPr>
        <w:spacing w:line="360" w:lineRule="auto"/>
        <w:ind w:firstLine="720"/>
        <w:rPr>
          <w:rFonts w:ascii="Arial" w:hAnsi="Arial"/>
          <w:sz w:val="22"/>
          <w:szCs w:val="22"/>
        </w:rPr>
      </w:pPr>
      <w:r w:rsidRPr="000901A1">
        <w:rPr>
          <w:rFonts w:ascii="Arial" w:hAnsi="Arial"/>
          <w:sz w:val="22"/>
          <w:szCs w:val="22"/>
        </w:rPr>
        <w:t>To build a comprehensive model for TE prediction, we chose ORFs passing the following criteria: (1) ORFs are more than 200nt long</w:t>
      </w:r>
      <w:r w:rsidR="008B214D">
        <w:rPr>
          <w:rFonts w:ascii="Arial" w:hAnsi="Arial"/>
          <w:sz w:val="22"/>
          <w:szCs w:val="22"/>
        </w:rPr>
        <w:t xml:space="preserve"> to better separate the head and the body portions of ORF</w:t>
      </w:r>
      <w:r w:rsidRPr="000901A1">
        <w:rPr>
          <w:rFonts w:ascii="Arial" w:hAnsi="Arial"/>
          <w:sz w:val="22"/>
          <w:szCs w:val="22"/>
        </w:rPr>
        <w:t xml:space="preserve">; (2) </w:t>
      </w:r>
      <w:r w:rsidR="001870A8">
        <w:rPr>
          <w:rFonts w:ascii="Arial" w:hAnsi="Arial"/>
          <w:sz w:val="22"/>
          <w:szCs w:val="22"/>
        </w:rPr>
        <w:t>There is ≥ 20 nucleotides separating from the upstream ORF</w:t>
      </w:r>
      <w:r w:rsidRPr="000901A1">
        <w:rPr>
          <w:rFonts w:ascii="Arial" w:hAnsi="Arial"/>
          <w:sz w:val="22"/>
          <w:szCs w:val="22"/>
        </w:rPr>
        <w:t xml:space="preserve"> (3) ORFs </w:t>
      </w:r>
      <w:r w:rsidR="008B214D">
        <w:rPr>
          <w:rFonts w:ascii="Arial" w:hAnsi="Arial"/>
          <w:sz w:val="22"/>
          <w:szCs w:val="22"/>
        </w:rPr>
        <w:t>have ≥ 15 reads/</w:t>
      </w:r>
      <w:proofErr w:type="spellStart"/>
      <w:r w:rsidR="008B214D">
        <w:rPr>
          <w:rFonts w:ascii="Arial" w:hAnsi="Arial"/>
          <w:sz w:val="22"/>
          <w:szCs w:val="22"/>
        </w:rPr>
        <w:t>nt</w:t>
      </w:r>
      <w:proofErr w:type="spellEnd"/>
      <w:r w:rsidR="008B214D">
        <w:rPr>
          <w:rFonts w:ascii="Arial" w:hAnsi="Arial"/>
          <w:sz w:val="22"/>
          <w:szCs w:val="22"/>
        </w:rPr>
        <w:t xml:space="preserve"> of</w:t>
      </w:r>
      <w:r w:rsidRPr="000901A1">
        <w:rPr>
          <w:rFonts w:ascii="Arial" w:hAnsi="Arial"/>
          <w:sz w:val="22"/>
          <w:szCs w:val="22"/>
        </w:rPr>
        <w:t xml:space="preserve"> WT </w:t>
      </w:r>
      <w:r w:rsidR="008B214D" w:rsidRPr="008B214D">
        <w:rPr>
          <w:rFonts w:ascii="Arial" w:hAnsi="Arial"/>
          <w:i/>
          <w:sz w:val="22"/>
          <w:szCs w:val="22"/>
        </w:rPr>
        <w:t>in vivo</w:t>
      </w:r>
      <w:r w:rsidR="008B214D">
        <w:rPr>
          <w:rFonts w:ascii="Arial" w:hAnsi="Arial"/>
          <w:sz w:val="22"/>
          <w:szCs w:val="22"/>
        </w:rPr>
        <w:t xml:space="preserve"> </w:t>
      </w:r>
      <w:r w:rsidRPr="000901A1">
        <w:rPr>
          <w:rFonts w:ascii="Arial" w:hAnsi="Arial"/>
          <w:sz w:val="22"/>
          <w:szCs w:val="22"/>
        </w:rPr>
        <w:t>DMS-</w:t>
      </w:r>
      <w:proofErr w:type="spellStart"/>
      <w:r w:rsidRPr="000901A1">
        <w:rPr>
          <w:rFonts w:ascii="Arial" w:hAnsi="Arial"/>
          <w:sz w:val="22"/>
          <w:szCs w:val="22"/>
        </w:rPr>
        <w:t>seq</w:t>
      </w:r>
      <w:proofErr w:type="spellEnd"/>
      <w:r w:rsidR="008B214D">
        <w:rPr>
          <w:rFonts w:ascii="Arial" w:hAnsi="Arial"/>
          <w:sz w:val="22"/>
          <w:szCs w:val="22"/>
        </w:rPr>
        <w:t xml:space="preserve"> signal</w:t>
      </w:r>
      <w:r w:rsidRPr="000901A1">
        <w:rPr>
          <w:rFonts w:ascii="Arial" w:hAnsi="Arial"/>
          <w:sz w:val="22"/>
          <w:szCs w:val="22"/>
        </w:rPr>
        <w:t>. The total number of selected ORFs is 822.</w:t>
      </w:r>
    </w:p>
    <w:p w14:paraId="145FE8A1" w14:textId="78382B43" w:rsidR="00661356" w:rsidRDefault="000901A1" w:rsidP="006A3969">
      <w:pPr>
        <w:spacing w:line="360" w:lineRule="auto"/>
        <w:ind w:firstLine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We applied </w:t>
      </w:r>
      <w:r w:rsidR="001870A8">
        <w:rPr>
          <w:rFonts w:ascii="Arial" w:hAnsi="Arial"/>
          <w:sz w:val="22"/>
          <w:szCs w:val="22"/>
        </w:rPr>
        <w:t xml:space="preserve">a </w:t>
      </w:r>
      <w:r w:rsidR="00924B04">
        <w:rPr>
          <w:rFonts w:ascii="Arial" w:hAnsi="Arial"/>
          <w:sz w:val="22"/>
          <w:szCs w:val="22"/>
        </w:rPr>
        <w:t xml:space="preserve">multiple </w:t>
      </w:r>
      <w:r>
        <w:rPr>
          <w:rFonts w:ascii="Arial" w:hAnsi="Arial"/>
          <w:sz w:val="22"/>
          <w:szCs w:val="22"/>
        </w:rPr>
        <w:t>linear regression</w:t>
      </w:r>
      <w:r w:rsidR="001870A8">
        <w:rPr>
          <w:rFonts w:ascii="Arial" w:hAnsi="Arial"/>
          <w:sz w:val="22"/>
          <w:szCs w:val="22"/>
        </w:rPr>
        <w:t xml:space="preserve"> model</w:t>
      </w:r>
      <w:r>
        <w:rPr>
          <w:rFonts w:ascii="Arial" w:hAnsi="Arial"/>
          <w:sz w:val="22"/>
          <w:szCs w:val="22"/>
        </w:rPr>
        <w:t xml:space="preserve"> to predict TE </w:t>
      </w:r>
      <w:r w:rsidR="001870A8">
        <w:rPr>
          <w:rFonts w:ascii="Arial" w:hAnsi="Arial"/>
          <w:sz w:val="22"/>
          <w:szCs w:val="22"/>
        </w:rPr>
        <w:t>that is based on the following</w:t>
      </w:r>
      <w:r w:rsidR="008B214D">
        <w:rPr>
          <w:rFonts w:ascii="Arial" w:hAnsi="Arial"/>
          <w:sz w:val="22"/>
          <w:szCs w:val="22"/>
        </w:rPr>
        <w:t xml:space="preserve"> features</w:t>
      </w:r>
      <w:r w:rsidR="001870A8"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t xml:space="preserve">mRNA structure level </w:t>
      </w:r>
      <w:r w:rsidR="00D42489">
        <w:rPr>
          <w:rFonts w:ascii="Arial" w:hAnsi="Arial"/>
          <w:sz w:val="22"/>
          <w:szCs w:val="22"/>
        </w:rPr>
        <w:t>(Gini</w:t>
      </w:r>
      <w:r w:rsidR="00B45C0D">
        <w:rPr>
          <w:rFonts w:ascii="Arial" w:hAnsi="Arial"/>
          <w:sz w:val="22"/>
          <w:szCs w:val="22"/>
        </w:rPr>
        <w:t xml:space="preserve"> index</w:t>
      </w:r>
      <w:r w:rsidR="00D42489">
        <w:rPr>
          <w:rFonts w:ascii="Arial" w:hAnsi="Arial"/>
          <w:sz w:val="22"/>
          <w:szCs w:val="22"/>
        </w:rPr>
        <w:t xml:space="preserve">) </w:t>
      </w:r>
      <w:r>
        <w:rPr>
          <w:rFonts w:ascii="Arial" w:hAnsi="Arial"/>
          <w:sz w:val="22"/>
          <w:szCs w:val="22"/>
        </w:rPr>
        <w:t xml:space="preserve">of various portions of the ORF, codon usage predicted by </w:t>
      </w:r>
      <w:proofErr w:type="spellStart"/>
      <w:r>
        <w:rPr>
          <w:rFonts w:ascii="Arial" w:hAnsi="Arial"/>
          <w:sz w:val="22"/>
          <w:szCs w:val="22"/>
        </w:rPr>
        <w:t>tAI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 w:rsidRPr="002E1646">
        <w:rPr>
          <w:rFonts w:ascii="Arial" w:hAnsi="Arial" w:cs="Arial"/>
          <w:color w:val="000000" w:themeColor="text1"/>
          <w:sz w:val="22"/>
          <w:szCs w:val="22"/>
        </w:rPr>
        <w:fldChar w:fldCharType="begin"/>
      </w:r>
      <w:r w:rsidRPr="002E1646">
        <w:rPr>
          <w:rFonts w:ascii="Arial" w:hAnsi="Arial" w:cs="Arial"/>
          <w:color w:val="000000" w:themeColor="text1"/>
          <w:sz w:val="22"/>
          <w:szCs w:val="22"/>
        </w:rPr>
        <w:instrText>ADDIN BEC{dos Reis et al., 2004, #34463}{Tuller et al., 2010, #22531}</w:instrText>
      </w:r>
      <w:r w:rsidRPr="002E1646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2E1646">
        <w:rPr>
          <w:rFonts w:ascii="Arial" w:hAnsi="Arial" w:cs="Arial"/>
          <w:color w:val="000000" w:themeColor="text1"/>
          <w:sz w:val="22"/>
          <w:szCs w:val="22"/>
        </w:rPr>
        <w:t>(dos Reis et al., 2004; Tuller et al., 2010)</w:t>
      </w:r>
      <w:r w:rsidRPr="002E1646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 xml:space="preserve">, codon influence metric </w:t>
      </w:r>
      <w:r w:rsidRPr="008A362B">
        <w:rPr>
          <w:rFonts w:ascii="Arial" w:hAnsi="Arial" w:cs="Arial"/>
          <w:color w:val="000000" w:themeColor="text1"/>
          <w:sz w:val="22"/>
          <w:szCs w:val="22"/>
        </w:rPr>
        <w:fldChar w:fldCharType="begin"/>
      </w:r>
      <w:r w:rsidRPr="008A362B">
        <w:rPr>
          <w:rFonts w:ascii="Arial" w:hAnsi="Arial" w:cs="Arial"/>
          <w:color w:val="000000" w:themeColor="text1"/>
          <w:sz w:val="22"/>
          <w:szCs w:val="22"/>
        </w:rPr>
        <w:instrText>ADDIN BEC{Boel et al., 2016, #88157}</w:instrText>
      </w:r>
      <w:r w:rsidRPr="008A362B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8A362B">
        <w:rPr>
          <w:rFonts w:ascii="Arial" w:hAnsi="Arial" w:cs="Arial"/>
          <w:color w:val="000000" w:themeColor="text1"/>
          <w:sz w:val="22"/>
          <w:szCs w:val="22"/>
        </w:rPr>
        <w:t>(Boel et al., 2016)</w:t>
      </w:r>
      <w:r w:rsidRPr="008A362B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>, and the strength of Shine-</w:t>
      </w:r>
      <w:proofErr w:type="spellStart"/>
      <w:r>
        <w:rPr>
          <w:rFonts w:ascii="Arial" w:hAnsi="Arial"/>
          <w:sz w:val="22"/>
          <w:szCs w:val="22"/>
        </w:rPr>
        <w:t>Dalgarno</w:t>
      </w:r>
      <w:proofErr w:type="spellEnd"/>
      <w:r>
        <w:rPr>
          <w:rFonts w:ascii="Arial" w:hAnsi="Arial"/>
          <w:sz w:val="22"/>
          <w:szCs w:val="22"/>
        </w:rPr>
        <w:t xml:space="preserve"> sequenc</w:t>
      </w:r>
      <w:r w:rsidR="006955DA">
        <w:rPr>
          <w:rFonts w:ascii="Arial" w:hAnsi="Arial"/>
          <w:sz w:val="22"/>
          <w:szCs w:val="22"/>
        </w:rPr>
        <w:t>e</w:t>
      </w:r>
      <w:r w:rsidR="00E56B8A">
        <w:rPr>
          <w:rFonts w:ascii="Arial" w:hAnsi="Arial"/>
          <w:sz w:val="22"/>
          <w:szCs w:val="22"/>
        </w:rPr>
        <w:t xml:space="preserve"> (using the RBS Calculator established by </w:t>
      </w:r>
      <w:proofErr w:type="spellStart"/>
      <w:r w:rsidR="00E56B8A">
        <w:rPr>
          <w:rFonts w:ascii="Arial" w:hAnsi="Arial"/>
          <w:sz w:val="22"/>
          <w:szCs w:val="22"/>
        </w:rPr>
        <w:t>Salis</w:t>
      </w:r>
      <w:proofErr w:type="spellEnd"/>
      <w:r w:rsidR="00E56B8A">
        <w:rPr>
          <w:rFonts w:ascii="Arial" w:hAnsi="Arial"/>
          <w:sz w:val="22"/>
          <w:szCs w:val="22"/>
        </w:rPr>
        <w:t xml:space="preserve"> et al from </w:t>
      </w:r>
      <w:r w:rsidR="00E56B8A" w:rsidRPr="00E56B8A">
        <w:rPr>
          <w:rFonts w:ascii="Arial" w:hAnsi="Arial"/>
          <w:sz w:val="22"/>
          <w:szCs w:val="22"/>
        </w:rPr>
        <w:t>https://github.com/hsalis/Ribosome-Binding-Site-Calculator-v1.0</w:t>
      </w:r>
      <w:r w:rsidR="00B45C0D">
        <w:rPr>
          <w:rFonts w:ascii="Arial" w:hAnsi="Arial"/>
          <w:sz w:val="22"/>
          <w:szCs w:val="22"/>
        </w:rPr>
        <w:t>)</w:t>
      </w:r>
      <w:r w:rsidR="006955DA">
        <w:rPr>
          <w:rFonts w:ascii="Arial" w:hAnsi="Arial"/>
          <w:sz w:val="22"/>
          <w:szCs w:val="22"/>
        </w:rPr>
        <w:t>.</w:t>
      </w:r>
      <w:r w:rsidR="009B54BD">
        <w:rPr>
          <w:rFonts w:ascii="Arial" w:hAnsi="Arial"/>
          <w:sz w:val="22"/>
          <w:szCs w:val="22"/>
        </w:rPr>
        <w:t xml:space="preserve"> T</w:t>
      </w:r>
      <w:r w:rsidR="006955DA">
        <w:rPr>
          <w:rFonts w:ascii="Arial" w:hAnsi="Arial"/>
          <w:sz w:val="22"/>
          <w:szCs w:val="22"/>
        </w:rPr>
        <w:t>he coefficients of factors are shown in the model equations, with significance indicated. To avoid overfitting, 5-fold cross validation (CV) was applied to models, and the R</w:t>
      </w:r>
      <w:r w:rsidR="001870A8">
        <w:rPr>
          <w:rFonts w:ascii="Arial" w:hAnsi="Arial"/>
          <w:sz w:val="22"/>
          <w:szCs w:val="22"/>
          <w:vertAlign w:val="superscript"/>
        </w:rPr>
        <w:t>2</w:t>
      </w:r>
      <w:r w:rsidR="006955DA">
        <w:rPr>
          <w:rFonts w:ascii="Arial" w:hAnsi="Arial"/>
          <w:sz w:val="22"/>
          <w:szCs w:val="22"/>
        </w:rPr>
        <w:t xml:space="preserve"> values after CV were compared to the adjusted R</w:t>
      </w:r>
      <w:r w:rsidR="00443F42" w:rsidRPr="00965D91">
        <w:rPr>
          <w:rFonts w:ascii="Arial" w:hAnsi="Arial"/>
          <w:sz w:val="22"/>
          <w:szCs w:val="22"/>
          <w:vertAlign w:val="superscript"/>
        </w:rPr>
        <w:t>2</w:t>
      </w:r>
      <w:r w:rsidR="006955DA">
        <w:rPr>
          <w:rFonts w:ascii="Arial" w:hAnsi="Arial"/>
          <w:sz w:val="22"/>
          <w:szCs w:val="22"/>
        </w:rPr>
        <w:t xml:space="preserve"> values calculated from the model</w:t>
      </w:r>
      <w:r w:rsidR="003952D7">
        <w:rPr>
          <w:rFonts w:ascii="Arial" w:hAnsi="Arial"/>
          <w:sz w:val="22"/>
          <w:szCs w:val="22"/>
        </w:rPr>
        <w:t xml:space="preserve"> using </w:t>
      </w:r>
      <w:r w:rsidR="00924B04">
        <w:rPr>
          <w:rFonts w:ascii="Arial" w:hAnsi="Arial"/>
          <w:sz w:val="22"/>
          <w:szCs w:val="22"/>
        </w:rPr>
        <w:t xml:space="preserve">R </w:t>
      </w:r>
      <w:r w:rsidR="003952D7">
        <w:rPr>
          <w:rFonts w:ascii="Arial" w:hAnsi="Arial"/>
          <w:sz w:val="22"/>
          <w:szCs w:val="22"/>
        </w:rPr>
        <w:t>package “</w:t>
      </w:r>
      <w:r w:rsidR="003952D7" w:rsidRPr="003952D7">
        <w:rPr>
          <w:rFonts w:ascii="Arial" w:hAnsi="Arial"/>
          <w:sz w:val="22"/>
          <w:szCs w:val="22"/>
        </w:rPr>
        <w:t>caret</w:t>
      </w:r>
      <w:r w:rsidR="003952D7">
        <w:rPr>
          <w:rFonts w:ascii="Arial" w:hAnsi="Arial"/>
          <w:sz w:val="22"/>
          <w:szCs w:val="22"/>
        </w:rPr>
        <w:t>”</w:t>
      </w:r>
      <w:r w:rsidR="00924B04">
        <w:rPr>
          <w:rFonts w:ascii="Arial" w:hAnsi="Arial"/>
          <w:sz w:val="22"/>
          <w:szCs w:val="22"/>
        </w:rPr>
        <w:t xml:space="preserve"> (</w:t>
      </w:r>
      <w:r w:rsidR="00924B04" w:rsidRPr="00924B04">
        <w:rPr>
          <w:rFonts w:ascii="Arial" w:hAnsi="Arial"/>
          <w:sz w:val="22"/>
          <w:szCs w:val="22"/>
        </w:rPr>
        <w:t>http://topepo.github.io/caret/index.html</w:t>
      </w:r>
      <w:r w:rsidR="00924B04">
        <w:rPr>
          <w:rFonts w:ascii="Arial" w:hAnsi="Arial"/>
          <w:sz w:val="22"/>
          <w:szCs w:val="22"/>
        </w:rPr>
        <w:t>)</w:t>
      </w:r>
      <w:r w:rsidR="008B214D">
        <w:rPr>
          <w:rFonts w:ascii="Arial" w:hAnsi="Arial"/>
          <w:sz w:val="22"/>
          <w:szCs w:val="22"/>
        </w:rPr>
        <w:t>.</w:t>
      </w:r>
      <w:r w:rsidR="006955DA">
        <w:rPr>
          <w:rFonts w:ascii="Arial" w:hAnsi="Arial"/>
          <w:sz w:val="22"/>
          <w:szCs w:val="22"/>
        </w:rPr>
        <w:t xml:space="preserve"> Analyses of </w:t>
      </w:r>
      <w:r w:rsidR="00924B04">
        <w:rPr>
          <w:rFonts w:ascii="Arial" w:hAnsi="Arial"/>
          <w:sz w:val="22"/>
          <w:szCs w:val="22"/>
        </w:rPr>
        <w:t xml:space="preserve">the </w:t>
      </w:r>
      <w:r w:rsidR="006955DA">
        <w:rPr>
          <w:rFonts w:ascii="Arial" w:hAnsi="Arial"/>
          <w:sz w:val="22"/>
          <w:szCs w:val="22"/>
        </w:rPr>
        <w:t xml:space="preserve">model </w:t>
      </w:r>
      <w:r w:rsidR="001870A8">
        <w:rPr>
          <w:rFonts w:ascii="Arial" w:hAnsi="Arial"/>
          <w:sz w:val="22"/>
          <w:szCs w:val="22"/>
        </w:rPr>
        <w:t xml:space="preserve">are </w:t>
      </w:r>
      <w:r w:rsidR="006955DA">
        <w:rPr>
          <w:rFonts w:ascii="Arial" w:hAnsi="Arial"/>
          <w:sz w:val="22"/>
          <w:szCs w:val="22"/>
        </w:rPr>
        <w:t>shown in two figures: (A) Comparison between experimentally measured TE to model-predicted TE</w:t>
      </w:r>
      <w:r w:rsidR="009B54BD">
        <w:rPr>
          <w:rFonts w:ascii="Arial" w:hAnsi="Arial"/>
          <w:sz w:val="22"/>
          <w:szCs w:val="22"/>
        </w:rPr>
        <w:t>;</w:t>
      </w:r>
      <w:r w:rsidR="006955DA">
        <w:rPr>
          <w:rFonts w:ascii="Arial" w:hAnsi="Arial"/>
          <w:sz w:val="22"/>
          <w:szCs w:val="22"/>
        </w:rPr>
        <w:t xml:space="preserve"> (B) </w:t>
      </w:r>
      <w:r w:rsidR="00B45C0D">
        <w:rPr>
          <w:rFonts w:ascii="Arial" w:hAnsi="Arial"/>
          <w:sz w:val="22"/>
          <w:szCs w:val="22"/>
        </w:rPr>
        <w:t>Relative contribution of the factors tested in the model in predicting TE</w:t>
      </w:r>
      <w:r w:rsidR="006955DA">
        <w:rPr>
          <w:rFonts w:ascii="Arial" w:hAnsi="Arial"/>
          <w:sz w:val="22"/>
          <w:szCs w:val="22"/>
        </w:rPr>
        <w:t xml:space="preserve">, calculated using </w:t>
      </w:r>
      <w:r w:rsidR="00443F42">
        <w:rPr>
          <w:rFonts w:ascii="Arial" w:hAnsi="Arial"/>
          <w:sz w:val="22"/>
          <w:szCs w:val="22"/>
        </w:rPr>
        <w:t>stepwise regression</w:t>
      </w:r>
      <w:r w:rsidR="006955DA">
        <w:rPr>
          <w:rFonts w:ascii="Arial" w:hAnsi="Arial"/>
          <w:sz w:val="22"/>
          <w:szCs w:val="22"/>
        </w:rPr>
        <w:t xml:space="preserve">. </w:t>
      </w:r>
    </w:p>
    <w:p w14:paraId="4D084AF8" w14:textId="19954C59" w:rsidR="006955DA" w:rsidRDefault="00443F42" w:rsidP="00D54281">
      <w:pPr>
        <w:spacing w:line="360" w:lineRule="auto"/>
        <w:ind w:firstLine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For stepwise regression, </w:t>
      </w:r>
      <w:r w:rsidR="00661356">
        <w:rPr>
          <w:rFonts w:ascii="Arial" w:hAnsi="Arial"/>
          <w:sz w:val="22"/>
          <w:szCs w:val="22"/>
        </w:rPr>
        <w:t>we used forward selection</w:t>
      </w:r>
      <w:r w:rsidR="00671E39">
        <w:rPr>
          <w:rFonts w:ascii="Arial" w:hAnsi="Arial"/>
          <w:sz w:val="22"/>
          <w:szCs w:val="22"/>
        </w:rPr>
        <w:t xml:space="preserve"> to compare</w:t>
      </w:r>
      <w:r w:rsidR="00661356">
        <w:rPr>
          <w:rFonts w:ascii="Arial" w:hAnsi="Arial"/>
          <w:sz w:val="22"/>
          <w:szCs w:val="22"/>
        </w:rPr>
        <w:t xml:space="preserve"> the change of R</w:t>
      </w:r>
      <w:r w:rsidR="00661356" w:rsidRPr="00661356">
        <w:rPr>
          <w:rFonts w:ascii="Arial" w:hAnsi="Arial"/>
          <w:sz w:val="22"/>
          <w:szCs w:val="22"/>
          <w:vertAlign w:val="superscript"/>
        </w:rPr>
        <w:t>2</w:t>
      </w:r>
      <w:r w:rsidR="00661356">
        <w:rPr>
          <w:rFonts w:ascii="Arial" w:hAnsi="Arial"/>
          <w:sz w:val="22"/>
          <w:szCs w:val="22"/>
        </w:rPr>
        <w:t xml:space="preserve"> value after adding each variable sequentially to the model</w:t>
      </w:r>
      <w:r w:rsidR="00924B04">
        <w:rPr>
          <w:rFonts w:ascii="Arial" w:hAnsi="Arial"/>
          <w:sz w:val="22"/>
          <w:szCs w:val="22"/>
        </w:rPr>
        <w:t xml:space="preserve"> and for each step </w:t>
      </w:r>
      <w:r w:rsidR="00671E39">
        <w:rPr>
          <w:rFonts w:ascii="Arial" w:hAnsi="Arial"/>
          <w:sz w:val="22"/>
          <w:szCs w:val="22"/>
        </w:rPr>
        <w:t>chose the factor that improves the model the most</w:t>
      </w:r>
      <w:r w:rsidR="00661356">
        <w:rPr>
          <w:rFonts w:ascii="Arial" w:hAnsi="Arial"/>
          <w:sz w:val="22"/>
          <w:szCs w:val="22"/>
        </w:rPr>
        <w:t xml:space="preserve">. The results of stepwise regression for </w:t>
      </w:r>
      <w:r w:rsidR="00671E39">
        <w:rPr>
          <w:rFonts w:ascii="Arial" w:hAnsi="Arial"/>
          <w:sz w:val="22"/>
          <w:szCs w:val="22"/>
        </w:rPr>
        <w:t>the model</w:t>
      </w:r>
      <w:r w:rsidR="00661356">
        <w:rPr>
          <w:rFonts w:ascii="Arial" w:hAnsi="Arial"/>
          <w:sz w:val="22"/>
          <w:szCs w:val="22"/>
        </w:rPr>
        <w:t xml:space="preserve"> are shown below.</w:t>
      </w:r>
      <w:r w:rsidR="009B54BD">
        <w:rPr>
          <w:rFonts w:ascii="Arial" w:hAnsi="Arial"/>
          <w:sz w:val="22"/>
          <w:szCs w:val="22"/>
        </w:rPr>
        <w:t xml:space="preserve"> Consistent with results from pairwise correlations</w:t>
      </w:r>
      <w:r w:rsidR="006955DA">
        <w:rPr>
          <w:rFonts w:ascii="Arial" w:hAnsi="Arial"/>
          <w:sz w:val="22"/>
          <w:szCs w:val="22"/>
        </w:rPr>
        <w:t xml:space="preserve">, </w:t>
      </w:r>
      <w:r w:rsidR="000F6933">
        <w:rPr>
          <w:rFonts w:ascii="Arial" w:hAnsi="Arial"/>
          <w:sz w:val="22"/>
          <w:szCs w:val="22"/>
        </w:rPr>
        <w:t>mRNA structure level play</w:t>
      </w:r>
      <w:bookmarkStart w:id="0" w:name="_GoBack"/>
      <w:bookmarkEnd w:id="0"/>
      <w:r w:rsidR="009F41DE">
        <w:rPr>
          <w:rFonts w:ascii="Arial" w:hAnsi="Arial"/>
          <w:sz w:val="22"/>
          <w:szCs w:val="22"/>
        </w:rPr>
        <w:t>s</w:t>
      </w:r>
      <w:r w:rsidR="000F6933">
        <w:rPr>
          <w:rFonts w:ascii="Arial" w:hAnsi="Arial"/>
          <w:sz w:val="22"/>
          <w:szCs w:val="22"/>
        </w:rPr>
        <w:t xml:space="preserve"> a </w:t>
      </w:r>
      <w:r w:rsidR="00D459EC">
        <w:rPr>
          <w:rFonts w:ascii="Arial" w:hAnsi="Arial"/>
          <w:sz w:val="22"/>
          <w:szCs w:val="22"/>
        </w:rPr>
        <w:t>much</w:t>
      </w:r>
      <w:r w:rsidR="001870A8">
        <w:rPr>
          <w:rFonts w:ascii="Arial" w:hAnsi="Arial"/>
          <w:sz w:val="22"/>
          <w:szCs w:val="22"/>
        </w:rPr>
        <w:t xml:space="preserve"> </w:t>
      </w:r>
      <w:r w:rsidR="000F6933">
        <w:rPr>
          <w:rFonts w:ascii="Arial" w:hAnsi="Arial"/>
          <w:sz w:val="22"/>
          <w:szCs w:val="22"/>
        </w:rPr>
        <w:t xml:space="preserve">more important role than the codon usage predicted by </w:t>
      </w:r>
      <w:proofErr w:type="spellStart"/>
      <w:r w:rsidR="000F6933">
        <w:rPr>
          <w:rFonts w:ascii="Arial" w:hAnsi="Arial"/>
          <w:sz w:val="22"/>
          <w:szCs w:val="22"/>
        </w:rPr>
        <w:t>tAI</w:t>
      </w:r>
      <w:proofErr w:type="spellEnd"/>
      <w:r w:rsidR="000F6933">
        <w:rPr>
          <w:rFonts w:ascii="Arial" w:hAnsi="Arial"/>
          <w:sz w:val="22"/>
          <w:szCs w:val="22"/>
        </w:rPr>
        <w:t xml:space="preserve"> or codon influence. </w:t>
      </w:r>
      <w:r w:rsidR="009B54BD">
        <w:rPr>
          <w:rFonts w:ascii="Arial" w:hAnsi="Arial"/>
          <w:sz w:val="22"/>
          <w:szCs w:val="22"/>
        </w:rPr>
        <w:t xml:space="preserve">Inclusion of the latter has marginal improvement in the predictive power. </w:t>
      </w:r>
      <w:r w:rsidR="000F6933">
        <w:rPr>
          <w:rFonts w:ascii="Arial" w:hAnsi="Arial"/>
          <w:sz w:val="22"/>
          <w:szCs w:val="22"/>
        </w:rPr>
        <w:t xml:space="preserve">The importance of mRNA structure level depends on the region included in the calculation: </w:t>
      </w:r>
      <w:r w:rsidR="000F6933">
        <w:rPr>
          <w:rFonts w:ascii="Arial" w:hAnsi="Arial" w:cs="Arial"/>
          <w:color w:val="000000" w:themeColor="text1"/>
          <w:sz w:val="22"/>
          <w:szCs w:val="22"/>
        </w:rPr>
        <w:t xml:space="preserve">we find increasing effect as larger regions of the ORF are considered in the structural analysis, and the ORF-wide mRNA structure is predominant among the factors tested. </w:t>
      </w:r>
    </w:p>
    <w:p w14:paraId="4BF37B72" w14:textId="77777777" w:rsidR="00562FE2" w:rsidRDefault="00562FE2" w:rsidP="00245B52">
      <w:pPr>
        <w:spacing w:line="360" w:lineRule="auto"/>
        <w:ind w:firstLine="720"/>
        <w:rPr>
          <w:rFonts w:ascii="Arial" w:hAnsi="Arial"/>
          <w:sz w:val="22"/>
          <w:szCs w:val="22"/>
        </w:rPr>
      </w:pPr>
    </w:p>
    <w:p w14:paraId="7FA5C5B3" w14:textId="1808D2A7" w:rsidR="004C2DE7" w:rsidRPr="007C5075" w:rsidRDefault="002C4803" w:rsidP="00245B52">
      <w:pPr>
        <w:spacing w:line="360" w:lineRule="auto"/>
        <w:rPr>
          <w:rFonts w:ascii="Arial" w:hAnsi="Arial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log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TE=5.93 -1.66×Gini(head)-15.6×Gini(body)+2.73×tAI+0.23×CI+0.03×aSD</m:t>
          </m:r>
        </m:oMath>
      </m:oMathPara>
    </w:p>
    <w:p w14:paraId="0E8EE559" w14:textId="77777777" w:rsidR="007C5075" w:rsidRDefault="007C5075" w:rsidP="00741E7B">
      <w:pPr>
        <w:spacing w:line="360" w:lineRule="auto"/>
        <w:rPr>
          <w:rFonts w:ascii="Arial" w:hAnsi="Arial"/>
          <w:sz w:val="22"/>
          <w:szCs w:val="22"/>
        </w:rPr>
      </w:pPr>
    </w:p>
    <w:p w14:paraId="39EB1300" w14:textId="665C385C" w:rsidR="008D4B9C" w:rsidRDefault="007C5075" w:rsidP="00741E7B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(1) </w:t>
      </w:r>
      <w:r w:rsidR="008D4B9C">
        <w:rPr>
          <w:rFonts w:ascii="Arial" w:hAnsi="Arial"/>
          <w:sz w:val="22"/>
          <w:szCs w:val="22"/>
        </w:rPr>
        <w:t>Gini</w:t>
      </w:r>
      <w:r w:rsidR="00741E7B">
        <w:rPr>
          <w:rFonts w:ascii="Arial" w:hAnsi="Arial"/>
          <w:sz w:val="22"/>
          <w:szCs w:val="22"/>
        </w:rPr>
        <w:t>(head)</w:t>
      </w:r>
      <w:r w:rsidR="00E41AE0">
        <w:rPr>
          <w:rFonts w:ascii="Arial" w:hAnsi="Arial"/>
          <w:sz w:val="22"/>
          <w:szCs w:val="22"/>
        </w:rPr>
        <w:t xml:space="preserve"> ***</w:t>
      </w:r>
      <w:r w:rsidR="008D4B9C">
        <w:rPr>
          <w:rFonts w:ascii="Arial" w:hAnsi="Arial"/>
          <w:sz w:val="22"/>
          <w:szCs w:val="22"/>
        </w:rPr>
        <w:t xml:space="preserve">: Gini </w:t>
      </w:r>
      <w:r w:rsidR="00B45C0D">
        <w:rPr>
          <w:rFonts w:ascii="Arial" w:hAnsi="Arial"/>
          <w:sz w:val="22"/>
          <w:szCs w:val="22"/>
        </w:rPr>
        <w:t xml:space="preserve">index </w:t>
      </w:r>
      <w:r w:rsidR="008D4B9C">
        <w:rPr>
          <w:rFonts w:ascii="Arial" w:hAnsi="Arial"/>
          <w:sz w:val="22"/>
          <w:szCs w:val="22"/>
        </w:rPr>
        <w:t xml:space="preserve">of ORF head (from 20nt upstream to 60nt downstream of start codon) </w:t>
      </w:r>
      <w:r>
        <w:rPr>
          <w:rFonts w:ascii="Arial" w:hAnsi="Arial"/>
          <w:sz w:val="22"/>
          <w:szCs w:val="22"/>
        </w:rPr>
        <w:t xml:space="preserve">calculated from </w:t>
      </w:r>
      <w:r w:rsidRPr="00B45C0D">
        <w:rPr>
          <w:rFonts w:ascii="Arial" w:hAnsi="Arial"/>
          <w:i/>
          <w:sz w:val="22"/>
          <w:szCs w:val="22"/>
        </w:rPr>
        <w:t>in vivo</w:t>
      </w:r>
      <w:r>
        <w:rPr>
          <w:rFonts w:ascii="Arial" w:hAnsi="Arial"/>
          <w:sz w:val="22"/>
          <w:szCs w:val="22"/>
        </w:rPr>
        <w:t xml:space="preserve"> WT DMS-</w:t>
      </w:r>
      <w:proofErr w:type="spellStart"/>
      <w:r>
        <w:rPr>
          <w:rFonts w:ascii="Arial" w:hAnsi="Arial"/>
          <w:sz w:val="22"/>
          <w:szCs w:val="22"/>
        </w:rPr>
        <w:t>seq</w:t>
      </w:r>
      <w:proofErr w:type="spellEnd"/>
      <w:r>
        <w:rPr>
          <w:rFonts w:ascii="Arial" w:hAnsi="Arial"/>
          <w:sz w:val="22"/>
          <w:szCs w:val="22"/>
        </w:rPr>
        <w:t xml:space="preserve"> data</w:t>
      </w:r>
    </w:p>
    <w:p w14:paraId="0A44A8A4" w14:textId="7AEB0F7D" w:rsidR="008D4B9C" w:rsidRDefault="007C5075" w:rsidP="00741E7B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(2) </w:t>
      </w:r>
      <w:r w:rsidR="003952D7">
        <w:rPr>
          <w:rFonts w:ascii="Arial" w:hAnsi="Arial"/>
          <w:sz w:val="22"/>
          <w:szCs w:val="22"/>
        </w:rPr>
        <w:t>Gini</w:t>
      </w:r>
      <w:r w:rsidR="00741E7B">
        <w:rPr>
          <w:rFonts w:ascii="Arial" w:hAnsi="Arial"/>
          <w:sz w:val="22"/>
          <w:szCs w:val="22"/>
        </w:rPr>
        <w:t>(body)</w:t>
      </w:r>
      <w:r w:rsidR="00E41AE0">
        <w:rPr>
          <w:rFonts w:ascii="Arial" w:hAnsi="Arial"/>
          <w:sz w:val="22"/>
          <w:szCs w:val="22"/>
        </w:rPr>
        <w:t xml:space="preserve"> ***</w:t>
      </w:r>
      <w:r w:rsidR="008D4B9C">
        <w:rPr>
          <w:rFonts w:ascii="Arial" w:hAnsi="Arial"/>
          <w:sz w:val="22"/>
          <w:szCs w:val="22"/>
        </w:rPr>
        <w:t xml:space="preserve">: Gini </w:t>
      </w:r>
      <w:r w:rsidR="00B45C0D">
        <w:rPr>
          <w:rFonts w:ascii="Arial" w:hAnsi="Arial"/>
          <w:sz w:val="22"/>
          <w:szCs w:val="22"/>
        </w:rPr>
        <w:t xml:space="preserve">index </w:t>
      </w:r>
      <w:r w:rsidR="008D4B9C">
        <w:rPr>
          <w:rFonts w:ascii="Arial" w:hAnsi="Arial"/>
          <w:sz w:val="22"/>
          <w:szCs w:val="22"/>
        </w:rPr>
        <w:t>of ORF body (from 60nt downstream of start codon to stop codon)</w:t>
      </w:r>
      <w:r>
        <w:rPr>
          <w:rFonts w:ascii="Arial" w:hAnsi="Arial"/>
          <w:sz w:val="22"/>
          <w:szCs w:val="22"/>
        </w:rPr>
        <w:t xml:space="preserve"> calculated from </w:t>
      </w:r>
      <w:r w:rsidRPr="00B45C0D">
        <w:rPr>
          <w:rFonts w:ascii="Arial" w:hAnsi="Arial"/>
          <w:i/>
          <w:sz w:val="22"/>
          <w:szCs w:val="22"/>
        </w:rPr>
        <w:t>in vivo</w:t>
      </w:r>
      <w:r>
        <w:rPr>
          <w:rFonts w:ascii="Arial" w:hAnsi="Arial"/>
          <w:sz w:val="22"/>
          <w:szCs w:val="22"/>
        </w:rPr>
        <w:t xml:space="preserve"> WT DMS-</w:t>
      </w:r>
      <w:proofErr w:type="spellStart"/>
      <w:r>
        <w:rPr>
          <w:rFonts w:ascii="Arial" w:hAnsi="Arial"/>
          <w:sz w:val="22"/>
          <w:szCs w:val="22"/>
        </w:rPr>
        <w:t>seq</w:t>
      </w:r>
      <w:proofErr w:type="spellEnd"/>
      <w:r>
        <w:rPr>
          <w:rFonts w:ascii="Arial" w:hAnsi="Arial"/>
          <w:sz w:val="22"/>
          <w:szCs w:val="22"/>
        </w:rPr>
        <w:t xml:space="preserve"> data</w:t>
      </w:r>
    </w:p>
    <w:p w14:paraId="0706538E" w14:textId="58E507FE" w:rsidR="008D4B9C" w:rsidRDefault="007C5075" w:rsidP="007D4FDB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(3) </w:t>
      </w:r>
      <w:proofErr w:type="spellStart"/>
      <w:r w:rsidR="008D4B9C">
        <w:rPr>
          <w:rFonts w:ascii="Arial" w:hAnsi="Arial"/>
          <w:sz w:val="22"/>
          <w:szCs w:val="22"/>
        </w:rPr>
        <w:t>tAI</w:t>
      </w:r>
      <w:proofErr w:type="spellEnd"/>
      <w:r w:rsidR="00E41AE0">
        <w:rPr>
          <w:rFonts w:ascii="Arial" w:hAnsi="Arial"/>
          <w:sz w:val="22"/>
          <w:szCs w:val="22"/>
        </w:rPr>
        <w:t xml:space="preserve"> **</w:t>
      </w:r>
      <w:r w:rsidR="008D4B9C">
        <w:rPr>
          <w:rFonts w:ascii="Arial" w:hAnsi="Arial"/>
          <w:sz w:val="22"/>
          <w:szCs w:val="22"/>
        </w:rPr>
        <w:t xml:space="preserve">: </w:t>
      </w:r>
      <w:proofErr w:type="spellStart"/>
      <w:r w:rsidR="008D4B9C">
        <w:rPr>
          <w:rFonts w:ascii="Arial" w:hAnsi="Arial"/>
          <w:sz w:val="22"/>
          <w:szCs w:val="22"/>
        </w:rPr>
        <w:t>tRNA</w:t>
      </w:r>
      <w:proofErr w:type="spellEnd"/>
      <w:r w:rsidR="008D4B9C">
        <w:rPr>
          <w:rFonts w:ascii="Arial" w:hAnsi="Arial"/>
          <w:sz w:val="22"/>
          <w:szCs w:val="22"/>
        </w:rPr>
        <w:t xml:space="preserve"> adaptation index </w:t>
      </w:r>
    </w:p>
    <w:p w14:paraId="18C01600" w14:textId="657078B5" w:rsidR="008D4B9C" w:rsidRDefault="007C5075" w:rsidP="00E25BDA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(4) </w:t>
      </w:r>
      <w:r w:rsidR="008D4B9C">
        <w:rPr>
          <w:rFonts w:ascii="Arial" w:hAnsi="Arial"/>
          <w:sz w:val="22"/>
          <w:szCs w:val="22"/>
        </w:rPr>
        <w:t>CI</w:t>
      </w:r>
      <w:r w:rsidR="00E41AE0">
        <w:rPr>
          <w:rFonts w:ascii="Arial" w:hAnsi="Arial"/>
          <w:sz w:val="22"/>
          <w:szCs w:val="22"/>
        </w:rPr>
        <w:t xml:space="preserve"> ***</w:t>
      </w:r>
      <w:r w:rsidR="008D4B9C">
        <w:rPr>
          <w:rFonts w:ascii="Arial" w:hAnsi="Arial"/>
          <w:sz w:val="22"/>
          <w:szCs w:val="22"/>
        </w:rPr>
        <w:t xml:space="preserve">: codon influence metric </w:t>
      </w:r>
    </w:p>
    <w:p w14:paraId="1C18C64F" w14:textId="206DC466" w:rsidR="008D4B9C" w:rsidRDefault="007C5075" w:rsidP="00E25BDA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(5) </w:t>
      </w:r>
      <w:proofErr w:type="spellStart"/>
      <w:r w:rsidR="008D4B9C">
        <w:rPr>
          <w:rFonts w:ascii="Arial" w:hAnsi="Arial" w:cs="Arial"/>
          <w:color w:val="000000" w:themeColor="text1"/>
          <w:sz w:val="22"/>
          <w:szCs w:val="22"/>
        </w:rPr>
        <w:t>aSD</w:t>
      </w:r>
      <w:proofErr w:type="spellEnd"/>
      <w:r w:rsidR="00E41AE0">
        <w:rPr>
          <w:rFonts w:ascii="Arial" w:hAnsi="Arial" w:cs="Arial"/>
          <w:color w:val="000000" w:themeColor="text1"/>
          <w:sz w:val="22"/>
          <w:szCs w:val="22"/>
        </w:rPr>
        <w:t xml:space="preserve"> **</w:t>
      </w:r>
      <w:r w:rsidR="008D4B9C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8D4B9C">
        <w:rPr>
          <w:rFonts w:ascii="Arial" w:hAnsi="Arial"/>
          <w:sz w:val="22"/>
          <w:szCs w:val="22"/>
        </w:rPr>
        <w:t>strength of Shine-</w:t>
      </w:r>
      <w:proofErr w:type="spellStart"/>
      <w:r w:rsidR="008D4B9C">
        <w:rPr>
          <w:rFonts w:ascii="Arial" w:hAnsi="Arial"/>
          <w:sz w:val="22"/>
          <w:szCs w:val="22"/>
        </w:rPr>
        <w:t>Dalgarno</w:t>
      </w:r>
      <w:proofErr w:type="spellEnd"/>
      <w:r w:rsidR="008D4B9C">
        <w:rPr>
          <w:rFonts w:ascii="Arial" w:hAnsi="Arial"/>
          <w:sz w:val="22"/>
          <w:szCs w:val="22"/>
        </w:rPr>
        <w:t xml:space="preserve"> sequence</w:t>
      </w:r>
    </w:p>
    <w:p w14:paraId="7D7C8309" w14:textId="77777777" w:rsidR="008D4B9C" w:rsidRDefault="008D4B9C" w:rsidP="00E25BDA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(Significance</w:t>
      </w:r>
      <w:r w:rsidRPr="00493AEE">
        <w:rPr>
          <w:rFonts w:ascii="Arial" w:hAnsi="Arial" w:cs="Arial"/>
          <w:color w:val="000000" w:themeColor="text1"/>
          <w:sz w:val="22"/>
          <w:szCs w:val="22"/>
        </w:rPr>
        <w:t xml:space="preserve"> codes:  0 ‘***’ 0.001 ‘**’ 0.01 ‘*’ 0.05</w:t>
      </w:r>
      <w:r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70CB8FCE" w14:textId="04FEB179" w:rsidR="004C2DE7" w:rsidRDefault="004C2DE7" w:rsidP="00E25BDA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C58BE08" w14:textId="37E4E6C9" w:rsidR="004C2DE7" w:rsidRPr="00493AEE" w:rsidRDefault="00105569" w:rsidP="00E25BDA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Results:</w:t>
      </w:r>
    </w:p>
    <w:p w14:paraId="037F1DD7" w14:textId="6FF47214" w:rsidR="004C2DE7" w:rsidRPr="00493AEE" w:rsidRDefault="008D4B9C" w:rsidP="00E25BDA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Adjusted R</w:t>
      </w:r>
      <w:r w:rsidR="00245B52" w:rsidRPr="00245B52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 w:rsidR="00245B52">
        <w:rPr>
          <w:rFonts w:ascii="Arial" w:hAnsi="Arial" w:cs="Arial"/>
          <w:color w:val="000000" w:themeColor="text1"/>
          <w:sz w:val="22"/>
          <w:szCs w:val="22"/>
        </w:rPr>
        <w:t xml:space="preserve"> calculated from model: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0.611</w:t>
      </w:r>
    </w:p>
    <w:p w14:paraId="3EA867EB" w14:textId="5DA03AE8" w:rsidR="004C2DE7" w:rsidRDefault="004C2DE7" w:rsidP="00E25BDA">
      <w:pPr>
        <w:spacing w:line="360" w:lineRule="auto"/>
        <w:rPr>
          <w:rFonts w:ascii="Arial" w:hAnsi="Arial"/>
          <w:sz w:val="22"/>
          <w:szCs w:val="22"/>
        </w:rPr>
      </w:pPr>
      <w:r w:rsidRPr="00493AEE">
        <w:rPr>
          <w:rFonts w:ascii="Arial" w:hAnsi="Arial"/>
          <w:sz w:val="22"/>
          <w:szCs w:val="22"/>
        </w:rPr>
        <w:t xml:space="preserve">5-fold </w:t>
      </w:r>
      <w:r w:rsidR="008D4B9C">
        <w:rPr>
          <w:rFonts w:ascii="Arial" w:hAnsi="Arial"/>
          <w:sz w:val="22"/>
          <w:szCs w:val="22"/>
        </w:rPr>
        <w:t>Cross Validation R</w:t>
      </w:r>
      <w:r w:rsidR="00245B52" w:rsidRPr="00245B52">
        <w:rPr>
          <w:rFonts w:ascii="Arial" w:hAnsi="Arial"/>
          <w:sz w:val="22"/>
          <w:szCs w:val="22"/>
          <w:vertAlign w:val="superscript"/>
        </w:rPr>
        <w:t>2</w:t>
      </w:r>
      <w:r w:rsidR="00D54281">
        <w:rPr>
          <w:rFonts w:ascii="Arial" w:hAnsi="Arial"/>
          <w:sz w:val="22"/>
          <w:szCs w:val="22"/>
        </w:rPr>
        <w:t xml:space="preserve"> (seed = 100)</w:t>
      </w:r>
      <w:r w:rsidR="008D4B9C">
        <w:rPr>
          <w:rFonts w:ascii="Arial" w:hAnsi="Arial"/>
          <w:sz w:val="22"/>
          <w:szCs w:val="22"/>
        </w:rPr>
        <w:t>: 0.60</w:t>
      </w:r>
      <w:r w:rsidR="006A3969">
        <w:rPr>
          <w:rFonts w:ascii="Arial" w:hAnsi="Arial"/>
          <w:sz w:val="22"/>
          <w:szCs w:val="22"/>
        </w:rPr>
        <w:t>9</w:t>
      </w:r>
      <w:r w:rsidRPr="00493AEE">
        <w:rPr>
          <w:rFonts w:ascii="Arial" w:hAnsi="Arial"/>
          <w:sz w:val="22"/>
          <w:szCs w:val="22"/>
        </w:rPr>
        <w:t xml:space="preserve"> ± 0.0</w:t>
      </w:r>
      <w:r w:rsidR="006A3969">
        <w:rPr>
          <w:rFonts w:ascii="Arial" w:hAnsi="Arial"/>
          <w:sz w:val="22"/>
          <w:szCs w:val="22"/>
        </w:rPr>
        <w:t>50</w:t>
      </w:r>
    </w:p>
    <w:p w14:paraId="66467DD4" w14:textId="38D95FEF" w:rsidR="00105569" w:rsidRDefault="00105569" w:rsidP="00E25BDA">
      <w:pPr>
        <w:spacing w:line="360" w:lineRule="auto"/>
        <w:rPr>
          <w:rFonts w:ascii="Arial" w:hAnsi="Arial"/>
          <w:sz w:val="22"/>
          <w:szCs w:val="22"/>
        </w:rPr>
      </w:pPr>
    </w:p>
    <w:p w14:paraId="39561EB5" w14:textId="0E334C81" w:rsidR="00105569" w:rsidRPr="00493AEE" w:rsidRDefault="007D4FDB" w:rsidP="00E25BDA">
      <w:pPr>
        <w:spacing w:line="360" w:lineRule="auto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334DC2" wp14:editId="3A0D35F0">
                <wp:simplePos x="0" y="0"/>
                <wp:positionH relativeFrom="column">
                  <wp:posOffset>2857500</wp:posOffset>
                </wp:positionH>
                <wp:positionV relativeFrom="paragraph">
                  <wp:posOffset>2536190</wp:posOffset>
                </wp:positionV>
                <wp:extent cx="2628900" cy="17145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16F4E" w14:textId="23AF1E7E" w:rsidR="00E56B8A" w:rsidRDefault="00E56B8A" w:rsidP="00741E7B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Figure B. Relative contribution of the factors in predicting TE, calculated from stepwise regression. Y-axis: R</w:t>
                            </w:r>
                            <w:r w:rsidRPr="00E41AE0">
                              <w:rPr>
                                <w:rFonts w:ascii="Arial" w:hAnsi="Arial"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of different models with stepwise addition of individual factors. A</w:t>
                            </w:r>
                            <w:r w:rsidRPr="007D4FDB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sterisk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 indicate significant improvement of model (based on ANOVA).</w:t>
                            </w:r>
                            <w:r w:rsidR="0043446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34464" w:rsidRPr="0043446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Significance codes:  0 ‘***’ 0.001 ‘**’ 0.01 ‘*’ 0.05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1DFE569E" w14:textId="7F85A144" w:rsidR="00E56B8A" w:rsidRDefault="00E56B8A" w:rsidP="00741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225pt;margin-top:199.7pt;width:207pt;height:1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" filled="f" stroked="f">
                <v:textbox>
                  <w:txbxContent>
                    <w:p w14:paraId="21B16F4E" w14:textId="23AF1E7E" w:rsidR="00E56B8A" w:rsidRDefault="00E56B8A" w:rsidP="00741E7B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Figure B. Relative contribution of the factors in predicting TE, calculated from stepwise regression. Y-axis: R</w:t>
                      </w:r>
                      <w:r w:rsidRPr="00E41AE0">
                        <w:rPr>
                          <w:rFonts w:ascii="Arial" w:hAnsi="Arial"/>
                          <w:sz w:val="22"/>
                          <w:szCs w:val="22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of different models with stepwise addition of individual factors. A</w:t>
                      </w:r>
                      <w:r w:rsidRPr="007D4FDB">
                        <w:rPr>
                          <w:rFonts w:ascii="Arial" w:hAnsi="Arial"/>
                          <w:sz w:val="22"/>
                          <w:szCs w:val="22"/>
                        </w:rPr>
                        <w:t>sterisk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s indicate significant improvement of model (based on ANOVA).</w:t>
                      </w:r>
                      <w:r w:rsidR="00434464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434464" w:rsidRPr="00434464">
                        <w:rPr>
                          <w:rFonts w:ascii="Arial" w:hAnsi="Arial"/>
                          <w:sz w:val="22"/>
                          <w:szCs w:val="22"/>
                        </w:rPr>
                        <w:t>Significance codes:  0 ‘***’ 0.001 ‘**’ 0.01 ‘*’ 0.05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1DFE569E" w14:textId="7F85A144" w:rsidR="00E56B8A" w:rsidRDefault="00E56B8A" w:rsidP="00741E7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noProof/>
          <w:color w:val="FF0000"/>
          <w:sz w:val="22"/>
          <w:szCs w:val="22"/>
          <w:lang w:eastAsia="zh-CN"/>
        </w:rPr>
        <w:drawing>
          <wp:inline distT="0" distB="0" distL="0" distR="0" wp14:anchorId="3AD7ECF9" wp14:editId="3087AA18">
            <wp:extent cx="5486400" cy="2415273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1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77FA8" w14:textId="791DFB01" w:rsidR="004C2DE7" w:rsidRPr="00493AEE" w:rsidRDefault="007D4FDB" w:rsidP="00E25BDA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09904C" wp14:editId="610A9D25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2743200" cy="1291590"/>
                <wp:effectExtent l="0" t="0" r="0" b="381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291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45743" w14:textId="368E8C81" w:rsidR="00E56B8A" w:rsidRPr="007D4FDB" w:rsidRDefault="00E56B8A" w:rsidP="00741E7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E7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Figure A. Com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parison between the experimentally measured TE and the model-predicted TE. The red dashed </w:t>
                            </w:r>
                            <w:r w:rsidRPr="00741E7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line indicates the y = x diagonal line.</w:t>
                            </w:r>
                          </w:p>
                          <w:p w14:paraId="5F748E2A" w14:textId="77777777" w:rsidR="00E56B8A" w:rsidRDefault="00E56B8A" w:rsidP="00741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9904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7" o:spid="_x0000_s1027" type="#_x0000_t202" style="position:absolute;margin-left:0;margin-top:.9pt;width:3in;height:10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" filled="f" stroked="f">
                <v:textbox>
                  <w:txbxContent>
                    <w:p w14:paraId="77645743" w14:textId="368E8C81" w:rsidR="00E56B8A" w:rsidRPr="007D4FDB" w:rsidRDefault="00E56B8A" w:rsidP="00741E7B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E7B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Figure A. Com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parison between the experimentally measured TE and the model-predicted TE. The red dashed </w:t>
                      </w:r>
                      <w:r w:rsidRPr="00741E7B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line indicates the y = x diagonal line.</w:t>
                      </w:r>
                    </w:p>
                    <w:p w14:paraId="5F748E2A" w14:textId="77777777" w:rsidR="00E56B8A" w:rsidRDefault="00E56B8A" w:rsidP="00741E7B"/>
                  </w:txbxContent>
                </v:textbox>
                <w10:wrap type="square"/>
              </v:shape>
            </w:pict>
          </mc:Fallback>
        </mc:AlternateContent>
      </w:r>
      <w:r w:rsidR="00DE3436" w:rsidRPr="00DE3436" w:rsidDel="00295F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994D691" w14:textId="0B018F08" w:rsidR="00453EB0" w:rsidRPr="00E41AE0" w:rsidRDefault="00453EB0" w:rsidP="00741E7B">
      <w:pPr>
        <w:spacing w:line="360" w:lineRule="auto"/>
        <w:rPr>
          <w:rFonts w:ascii="Arial" w:hAnsi="Arial"/>
          <w:b/>
          <w:u w:val="single"/>
        </w:rPr>
      </w:pPr>
    </w:p>
    <w:sectPr w:rsidR="00453EB0" w:rsidRPr="00E41AE0" w:rsidSect="006438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B4BCF"/>
    <w:multiLevelType w:val="hybridMultilevel"/>
    <w:tmpl w:val="2C6A40C6"/>
    <w:lvl w:ilvl="0" w:tplc="0CB4D8D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15FD0"/>
    <w:multiLevelType w:val="hybridMultilevel"/>
    <w:tmpl w:val="56380E26"/>
    <w:lvl w:ilvl="0" w:tplc="3020A45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B0"/>
    <w:rsid w:val="00023713"/>
    <w:rsid w:val="000641EA"/>
    <w:rsid w:val="00070E82"/>
    <w:rsid w:val="000901A1"/>
    <w:rsid w:val="000F6933"/>
    <w:rsid w:val="00105569"/>
    <w:rsid w:val="00105B77"/>
    <w:rsid w:val="001870A8"/>
    <w:rsid w:val="001E598F"/>
    <w:rsid w:val="002261BD"/>
    <w:rsid w:val="00245B52"/>
    <w:rsid w:val="00295FB5"/>
    <w:rsid w:val="002C4803"/>
    <w:rsid w:val="002E66C4"/>
    <w:rsid w:val="003952D7"/>
    <w:rsid w:val="003C6C99"/>
    <w:rsid w:val="004231B0"/>
    <w:rsid w:val="00434464"/>
    <w:rsid w:val="00443F42"/>
    <w:rsid w:val="00453EB0"/>
    <w:rsid w:val="00493AEE"/>
    <w:rsid w:val="004C2DE7"/>
    <w:rsid w:val="004E48A9"/>
    <w:rsid w:val="00562FE2"/>
    <w:rsid w:val="005C0859"/>
    <w:rsid w:val="005F3A94"/>
    <w:rsid w:val="00616C8E"/>
    <w:rsid w:val="006438D9"/>
    <w:rsid w:val="00661356"/>
    <w:rsid w:val="00671E39"/>
    <w:rsid w:val="006955DA"/>
    <w:rsid w:val="006A3969"/>
    <w:rsid w:val="00741E7B"/>
    <w:rsid w:val="007568BC"/>
    <w:rsid w:val="00781245"/>
    <w:rsid w:val="007C5075"/>
    <w:rsid w:val="007D4FDB"/>
    <w:rsid w:val="007F2C05"/>
    <w:rsid w:val="008B214D"/>
    <w:rsid w:val="008D4B9C"/>
    <w:rsid w:val="008E055B"/>
    <w:rsid w:val="008F32A3"/>
    <w:rsid w:val="008F3B9A"/>
    <w:rsid w:val="008F468D"/>
    <w:rsid w:val="00924B04"/>
    <w:rsid w:val="00965D91"/>
    <w:rsid w:val="00987836"/>
    <w:rsid w:val="009B54BD"/>
    <w:rsid w:val="009F41DE"/>
    <w:rsid w:val="00B250DC"/>
    <w:rsid w:val="00B45C0D"/>
    <w:rsid w:val="00CF67D5"/>
    <w:rsid w:val="00D42489"/>
    <w:rsid w:val="00D459EC"/>
    <w:rsid w:val="00D54281"/>
    <w:rsid w:val="00DC30E8"/>
    <w:rsid w:val="00DC763F"/>
    <w:rsid w:val="00DE3436"/>
    <w:rsid w:val="00E25BDA"/>
    <w:rsid w:val="00E316FB"/>
    <w:rsid w:val="00E41AE0"/>
    <w:rsid w:val="00E56B8A"/>
    <w:rsid w:val="00E75D7B"/>
    <w:rsid w:val="00F3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7B9ED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E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2A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2A3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562FE2"/>
  </w:style>
  <w:style w:type="character" w:styleId="Strong">
    <w:name w:val="Strong"/>
    <w:basedOn w:val="DefaultParagraphFont"/>
    <w:uiPriority w:val="22"/>
    <w:qFormat/>
    <w:rsid w:val="00562FE2"/>
    <w:rPr>
      <w:b/>
      <w:bCs/>
    </w:rPr>
  </w:style>
  <w:style w:type="character" w:customStyle="1" w:styleId="pre">
    <w:name w:val="pre"/>
    <w:basedOn w:val="DefaultParagraphFont"/>
    <w:rsid w:val="00562FE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3B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3B9A"/>
    <w:rPr>
      <w:rFonts w:ascii="Courier" w:hAnsi="Courier" w:cs="Courier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E66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6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6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6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6C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C50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444</Words>
  <Characters>2535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Zhang</dc:creator>
  <cp:keywords/>
  <dc:description/>
  <cp:lastModifiedBy>Yan Zhang</cp:lastModifiedBy>
  <cp:revision>5</cp:revision>
  <cp:lastPrinted>2017-01-14T03:22:00Z</cp:lastPrinted>
  <dcterms:created xsi:type="dcterms:W3CDTF">2017-01-14T03:22:00Z</dcterms:created>
  <dcterms:modified xsi:type="dcterms:W3CDTF">2017-01-16T04:21:00Z</dcterms:modified>
</cp:coreProperties>
</file>