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5"/>
        <w:gridCol w:w="1890"/>
        <w:gridCol w:w="991"/>
        <w:gridCol w:w="1303"/>
        <w:gridCol w:w="1699"/>
        <w:gridCol w:w="1702"/>
      </w:tblGrid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bookmarkStart w:id="0" w:name="_GoBack"/>
            <w:bookmarkEnd w:id="0"/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Sample.id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proofErr w:type="spellStart"/>
            <w:proofErr w:type="gramStart"/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connected.nodes</w:t>
            </w:r>
            <w:proofErr w:type="spellEnd"/>
            <w:proofErr w:type="gramEnd"/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edges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proofErr w:type="spellStart"/>
            <w:proofErr w:type="gramStart"/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total.reads</w:t>
            </w:r>
            <w:proofErr w:type="spellEnd"/>
            <w:proofErr w:type="gramEnd"/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proofErr w:type="spellStart"/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unique.NT</w:t>
            </w:r>
            <w:proofErr w:type="spellEnd"/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proofErr w:type="spellStart"/>
            <w:proofErr w:type="gramStart"/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unique.AA</w:t>
            </w:r>
            <w:proofErr w:type="spellEnd"/>
            <w:proofErr w:type="gramEnd"/>
          </w:p>
        </w:tc>
      </w:tr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B6_1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967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2996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721498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196253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132693</w:t>
            </w:r>
          </w:p>
        </w:tc>
      </w:tr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B6_2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948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2783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281123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80249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59685</w:t>
            </w:r>
          </w:p>
        </w:tc>
      </w:tr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B6_3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909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2298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143030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42919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33898</w:t>
            </w:r>
          </w:p>
        </w:tc>
      </w:tr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Quad_1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290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333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855561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86568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70294</w:t>
            </w:r>
          </w:p>
        </w:tc>
      </w:tr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Quad_2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336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380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504945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68993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57508</w:t>
            </w:r>
          </w:p>
        </w:tc>
      </w:tr>
      <w:tr w:rsidR="00BD04AE" w:rsidRPr="001249FC" w:rsidTr="004A099B">
        <w:tc>
          <w:tcPr>
            <w:tcW w:w="1925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b/>
                <w:bCs/>
                <w:szCs w:val="24"/>
              </w:rPr>
            </w:pPr>
            <w:r w:rsidRPr="00C2626D">
              <w:rPr>
                <w:rFonts w:eastAsia="Times New Roman" w:cstheme="majorBidi"/>
                <w:b/>
                <w:bCs/>
                <w:color w:val="000000"/>
                <w:szCs w:val="24"/>
              </w:rPr>
              <w:t>Quad_3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329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348</w:t>
            </w:r>
          </w:p>
        </w:tc>
        <w:tc>
          <w:tcPr>
            <w:tcW w:w="1057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899687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84125</w:t>
            </w:r>
          </w:p>
        </w:tc>
        <w:tc>
          <w:tcPr>
            <w:tcW w:w="1816" w:type="dxa"/>
            <w:vAlign w:val="bottom"/>
          </w:tcPr>
          <w:p w:rsidR="00BD04AE" w:rsidRPr="00C2626D" w:rsidRDefault="00BD04AE" w:rsidP="004A099B">
            <w:pPr>
              <w:pStyle w:val="ListParagraph"/>
              <w:spacing w:after="120"/>
              <w:ind w:left="0"/>
              <w:contextualSpacing w:val="0"/>
              <w:rPr>
                <w:rFonts w:cstheme="majorBidi"/>
                <w:szCs w:val="24"/>
              </w:rPr>
            </w:pPr>
            <w:r w:rsidRPr="00C2626D">
              <w:rPr>
                <w:rFonts w:eastAsia="Times New Roman" w:cstheme="majorBidi"/>
                <w:color w:val="000000"/>
                <w:szCs w:val="24"/>
              </w:rPr>
              <w:t>70414</w:t>
            </w:r>
          </w:p>
        </w:tc>
      </w:tr>
    </w:tbl>
    <w:p w:rsidR="00BD04AE" w:rsidRPr="001249FC" w:rsidRDefault="00BD04AE" w:rsidP="00BD04AE">
      <w:pPr>
        <w:pStyle w:val="ListParagraph"/>
        <w:spacing w:after="120"/>
        <w:ind w:left="0"/>
        <w:contextualSpacing w:val="0"/>
        <w:rPr>
          <w:rFonts w:cstheme="majorBidi"/>
        </w:rPr>
      </w:pPr>
    </w:p>
    <w:p w:rsidR="00BD04AE" w:rsidRPr="001249FC" w:rsidRDefault="00BD04AE" w:rsidP="00BD04AE">
      <w:pPr>
        <w:pStyle w:val="ListParagraph"/>
        <w:spacing w:after="120"/>
        <w:ind w:left="0"/>
        <w:contextualSpacing w:val="0"/>
        <w:rPr>
          <w:rFonts w:cstheme="majorBidi"/>
        </w:rPr>
      </w:pPr>
      <w:r w:rsidRPr="001249FC">
        <w:rPr>
          <w:rFonts w:cstheme="majorBidi"/>
          <w:b/>
          <w:bCs/>
        </w:rPr>
        <w:t>Table S</w:t>
      </w:r>
      <w:r>
        <w:rPr>
          <w:rFonts w:cstheme="majorBidi"/>
          <w:b/>
          <w:bCs/>
        </w:rPr>
        <w:t>2</w:t>
      </w:r>
      <w:r w:rsidRPr="001249FC">
        <w:rPr>
          <w:rFonts w:cstheme="majorBidi"/>
          <w:b/>
          <w:bCs/>
        </w:rPr>
        <w:t>.</w:t>
      </w:r>
      <w:r w:rsidRPr="001249FC">
        <w:rPr>
          <w:rFonts w:cstheme="majorBidi"/>
        </w:rPr>
        <w:t xml:space="preserve"> </w:t>
      </w:r>
      <w:bookmarkStart w:id="1" w:name="_Hlk485540656"/>
      <w:r>
        <w:rPr>
          <w:rFonts w:cstheme="majorBidi"/>
        </w:rPr>
        <w:t xml:space="preserve">Summary of the </w:t>
      </w:r>
      <w:r>
        <w:rPr>
          <w:rFonts w:cstheme="majorBidi"/>
          <w:szCs w:val="24"/>
          <w:highlight w:val="white"/>
        </w:rPr>
        <w:t>data</w:t>
      </w:r>
      <w:r w:rsidRPr="006D4D9A">
        <w:rPr>
          <w:rFonts w:cstheme="majorBidi"/>
          <w:szCs w:val="24"/>
          <w:highlight w:val="white"/>
        </w:rPr>
        <w:t xml:space="preserve"> </w:t>
      </w:r>
      <w:r>
        <w:rPr>
          <w:rFonts w:cstheme="majorBidi"/>
          <w:szCs w:val="24"/>
          <w:highlight w:val="white"/>
        </w:rPr>
        <w:t xml:space="preserve">for the </w:t>
      </w:r>
      <w:r w:rsidRPr="006D4D9A">
        <w:rPr>
          <w:rFonts w:cstheme="majorBidi"/>
          <w:szCs w:val="24"/>
          <w:highlight w:val="white"/>
        </w:rPr>
        <w:t xml:space="preserve">quad-KO mice, which are </w:t>
      </w:r>
      <w:r>
        <w:rPr>
          <w:rFonts w:cstheme="majorBidi"/>
          <w:color w:val="000000"/>
          <w:kern w:val="24"/>
        </w:rPr>
        <w:t xml:space="preserve">lacking four elements needed for physiological MHC-dependent antigen selection: MHC-I and -II molecules together with CD4 and CD8 co-receptor molecules </w:t>
      </w:r>
      <w:r>
        <w:rPr>
          <w:rFonts w:cstheme="majorBidi"/>
          <w:color w:val="000000"/>
          <w:kern w:val="24"/>
        </w:rPr>
        <w:fldChar w:fldCharType="begin">
          <w:fldData xml:space="preserve">PEVuZE5vdGU+PENpdGU+PEF1dGhvcj5WYW4gTGFldGhlbTwvQXV0aG9yPjxZZWFyPjIwMDc8L1ll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</w:fldData>
        </w:fldChar>
      </w:r>
      <w:r>
        <w:rPr>
          <w:rFonts w:cstheme="majorBidi"/>
          <w:color w:val="000000"/>
          <w:kern w:val="24"/>
        </w:rPr>
        <w:instrText xml:space="preserve"> ADDIN EN.CITE </w:instrText>
      </w:r>
      <w:r>
        <w:rPr>
          <w:rFonts w:cstheme="majorBidi"/>
          <w:color w:val="000000"/>
          <w:kern w:val="24"/>
        </w:rPr>
        <w:fldChar w:fldCharType="begin">
          <w:fldData xml:space="preserve">PEVuZE5vdGU+PENpdGU+PEF1dGhvcj5WYW4gTGFldGhlbTwvQXV0aG9yPjxZZWFyPjIwMDc8L1ll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</w:fldData>
        </w:fldChar>
      </w:r>
      <w:r>
        <w:rPr>
          <w:rFonts w:cstheme="majorBidi"/>
          <w:color w:val="000000"/>
          <w:kern w:val="24"/>
        </w:rPr>
        <w:instrText xml:space="preserve"> ADDIN EN.CITE.DATA </w:instrText>
      </w:r>
      <w:r>
        <w:rPr>
          <w:rFonts w:cstheme="majorBidi"/>
          <w:color w:val="000000"/>
          <w:kern w:val="24"/>
        </w:rPr>
      </w:r>
      <w:r>
        <w:rPr>
          <w:rFonts w:cstheme="majorBidi"/>
          <w:color w:val="000000"/>
          <w:kern w:val="24"/>
        </w:rPr>
        <w:fldChar w:fldCharType="end"/>
      </w:r>
      <w:r>
        <w:rPr>
          <w:rFonts w:cstheme="majorBidi"/>
          <w:color w:val="000000"/>
          <w:kern w:val="24"/>
        </w:rPr>
      </w:r>
      <w:r>
        <w:rPr>
          <w:rFonts w:cstheme="majorBidi"/>
          <w:color w:val="000000"/>
          <w:kern w:val="24"/>
        </w:rPr>
        <w:fldChar w:fldCharType="separate"/>
      </w:r>
      <w:r>
        <w:rPr>
          <w:rFonts w:cstheme="majorBidi"/>
          <w:noProof/>
          <w:color w:val="000000"/>
          <w:kern w:val="24"/>
        </w:rPr>
        <w:t>(</w:t>
      </w:r>
      <w:hyperlink w:anchor="_ENREF_34" w:tooltip="Van Laethem, 2007 #152" w:history="1">
        <w:r>
          <w:rPr>
            <w:rFonts w:cstheme="majorBidi"/>
            <w:noProof/>
            <w:color w:val="000000"/>
            <w:kern w:val="24"/>
          </w:rPr>
          <w:t>Van Laethem et al. 2007</w:t>
        </w:r>
      </w:hyperlink>
      <w:r>
        <w:rPr>
          <w:rFonts w:cstheme="majorBidi"/>
          <w:noProof/>
          <w:color w:val="000000"/>
          <w:kern w:val="24"/>
        </w:rPr>
        <w:t xml:space="preserve">; </w:t>
      </w:r>
      <w:hyperlink w:anchor="_ENREF_35" w:tooltip="Van Laethem, 2013 #155" w:history="1">
        <w:r>
          <w:rPr>
            <w:rFonts w:cstheme="majorBidi"/>
            <w:noProof/>
            <w:color w:val="000000"/>
            <w:kern w:val="24"/>
          </w:rPr>
          <w:t>Van Laethem et al. 2013</w:t>
        </w:r>
      </w:hyperlink>
      <w:r>
        <w:rPr>
          <w:rFonts w:cstheme="majorBidi"/>
          <w:noProof/>
          <w:color w:val="000000"/>
          <w:kern w:val="24"/>
        </w:rPr>
        <w:t>)</w:t>
      </w:r>
      <w:r>
        <w:rPr>
          <w:rFonts w:cstheme="majorBidi"/>
          <w:color w:val="000000"/>
          <w:kern w:val="24"/>
        </w:rPr>
        <w:fldChar w:fldCharType="end"/>
      </w:r>
      <w:r w:rsidRPr="006D4D9A">
        <w:rPr>
          <w:rFonts w:cstheme="majorBidi"/>
          <w:szCs w:val="24"/>
          <w:highlight w:val="white"/>
        </w:rPr>
        <w:t xml:space="preserve">, </w:t>
      </w:r>
      <w:r>
        <w:rPr>
          <w:rFonts w:cstheme="majorBidi"/>
          <w:szCs w:val="24"/>
          <w:highlight w:val="white"/>
        </w:rPr>
        <w:t>and matched</w:t>
      </w:r>
      <w:r w:rsidRPr="006D4D9A">
        <w:rPr>
          <w:rFonts w:cstheme="majorBidi"/>
          <w:szCs w:val="24"/>
          <w:highlight w:val="white"/>
        </w:rPr>
        <w:t xml:space="preserve"> control WT mice.</w:t>
      </w:r>
      <w:r>
        <w:rPr>
          <w:rFonts w:cstheme="majorBidi"/>
          <w:szCs w:val="24"/>
        </w:rPr>
        <w:t xml:space="preserve"> </w:t>
      </w:r>
      <w:proofErr w:type="spellStart"/>
      <w:r>
        <w:rPr>
          <w:rFonts w:cstheme="majorBidi"/>
          <w:szCs w:val="24"/>
        </w:rPr>
        <w:t>Connected.nodes</w:t>
      </w:r>
      <w:proofErr w:type="spellEnd"/>
      <w:r>
        <w:rPr>
          <w:rFonts w:cstheme="majorBidi"/>
          <w:szCs w:val="24"/>
        </w:rPr>
        <w:t xml:space="preserve"> and edges refers to network statistics generated</w:t>
      </w:r>
      <w:r w:rsidRPr="001249FC">
        <w:rPr>
          <w:rFonts w:cstheme="majorBidi"/>
        </w:rPr>
        <w:t xml:space="preserve"> </w:t>
      </w:r>
      <w:r>
        <w:rPr>
          <w:rFonts w:cstheme="majorBidi"/>
        </w:rPr>
        <w:t>from</w:t>
      </w:r>
      <w:r w:rsidRPr="001249FC">
        <w:rPr>
          <w:rFonts w:cstheme="majorBidi"/>
        </w:rPr>
        <w:t xml:space="preserve"> the 1,000 most frequent </w:t>
      </w:r>
      <w:r>
        <w:rPr>
          <w:rFonts w:cstheme="majorBidi"/>
        </w:rPr>
        <w:t xml:space="preserve">CDR3 sequences in each mouse. </w:t>
      </w:r>
    </w:p>
    <w:bookmarkEnd w:id="1"/>
    <w:p w:rsidR="00D14B27" w:rsidRDefault="00D14B27"/>
    <w:sectPr w:rsidR="00D14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AE"/>
    <w:rsid w:val="0010619F"/>
    <w:rsid w:val="003342E0"/>
    <w:rsid w:val="00BD04AE"/>
    <w:rsid w:val="00BF016A"/>
    <w:rsid w:val="00C829EA"/>
    <w:rsid w:val="00D14B27"/>
    <w:rsid w:val="00F3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5F059-4184-40D9-BB1D-2FFCDCA7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04AE"/>
    <w:pPr>
      <w:spacing w:after="240" w:line="276" w:lineRule="auto"/>
      <w:jc w:val="both"/>
    </w:pPr>
    <w:rPr>
      <w:rFonts w:asciiTheme="majorBidi" w:hAnsiTheme="majorBidi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4AE"/>
    <w:pPr>
      <w:ind w:left="720"/>
      <w:contextualSpacing/>
    </w:pPr>
  </w:style>
  <w:style w:type="table" w:styleId="TableGrid">
    <w:name w:val="Table Grid"/>
    <w:basedOn w:val="TableNormal"/>
    <w:uiPriority w:val="59"/>
    <w:rsid w:val="00BD04AE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2</cp:revision>
  <dcterms:created xsi:type="dcterms:W3CDTF">2017-06-27T00:34:00Z</dcterms:created>
  <dcterms:modified xsi:type="dcterms:W3CDTF">2017-06-27T00:34:00Z</dcterms:modified>
</cp:coreProperties>
</file>