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AE" w:rsidRPr="006A167A" w:rsidRDefault="00C14CAE" w:rsidP="00C14CAE">
      <w:pPr>
        <w:jc w:val="both"/>
        <w:rPr>
          <w:lang w:val="en-US"/>
        </w:rPr>
      </w:pPr>
      <w:r>
        <w:rPr>
          <w:rFonts w:cs="AdvOT1ef757c0"/>
          <w:b/>
          <w:lang w:val="en-US"/>
        </w:rPr>
        <w:t>Figure 2 – source data 1</w:t>
      </w:r>
      <w:r w:rsidRPr="006A167A">
        <w:rPr>
          <w:b/>
          <w:lang w:val="en-US"/>
        </w:rPr>
        <w:t>.</w:t>
      </w:r>
      <w:r w:rsidRPr="006A167A">
        <w:rPr>
          <w:lang w:val="en-US"/>
        </w:rPr>
        <w:t xml:space="preserve"> </w:t>
      </w:r>
      <w:proofErr w:type="spellStart"/>
      <w:r w:rsidRPr="006A167A">
        <w:rPr>
          <w:lang w:val="en-US"/>
        </w:rPr>
        <w:t>Codon</w:t>
      </w:r>
      <w:proofErr w:type="spellEnd"/>
      <w:r w:rsidRPr="006A167A">
        <w:rPr>
          <w:lang w:val="en-US"/>
        </w:rPr>
        <w:t xml:space="preserve"> optimization </w:t>
      </w:r>
      <w:r>
        <w:rPr>
          <w:lang w:val="en-US"/>
        </w:rPr>
        <w:t>is dependent on</w:t>
      </w:r>
      <w:r w:rsidRPr="006A167A">
        <w:rPr>
          <w:lang w:val="en-US"/>
        </w:rPr>
        <w:t xml:space="preserve"> breadth of host range but not genome assembly parameters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Results of an analysis of variance (ANOVA) considering the number of </w:t>
      </w:r>
      <w:proofErr w:type="spellStart"/>
      <w:r>
        <w:rPr>
          <w:lang w:val="en-US"/>
        </w:rPr>
        <w:t>contigs</w:t>
      </w:r>
      <w:proofErr w:type="spellEnd"/>
      <w:r>
        <w:rPr>
          <w:lang w:val="en-US"/>
        </w:rPr>
        <w:t xml:space="preserve"> in genome assemblies (no. </w:t>
      </w:r>
      <w:proofErr w:type="spellStart"/>
      <w:r>
        <w:rPr>
          <w:lang w:val="en-US"/>
        </w:rPr>
        <w:t>contigs</w:t>
      </w:r>
      <w:proofErr w:type="spellEnd"/>
      <w:r>
        <w:rPr>
          <w:lang w:val="en-US"/>
        </w:rPr>
        <w:t>, as a descriptor of the quality</w:t>
      </w:r>
      <w:r w:rsidRPr="00C14CAE">
        <w:rPr>
          <w:lang w:val="en-US"/>
        </w:rPr>
        <w:t xml:space="preserve"> </w:t>
      </w:r>
      <w:r>
        <w:rPr>
          <w:lang w:val="en-US"/>
        </w:rPr>
        <w:t>of assemblies), host range and their interaction as factors.</w:t>
      </w:r>
      <w:proofErr w:type="gramEnd"/>
    </w:p>
    <w:tbl>
      <w:tblPr>
        <w:tblW w:w="0" w:type="auto"/>
        <w:jc w:val="center"/>
        <w:tblInd w:w="40" w:type="dxa"/>
        <w:tblCellMar>
          <w:left w:w="70" w:type="dxa"/>
          <w:right w:w="70" w:type="dxa"/>
        </w:tblCellMar>
        <w:tblLook w:val="0000"/>
      </w:tblPr>
      <w:tblGrid>
        <w:gridCol w:w="1622"/>
        <w:gridCol w:w="746"/>
        <w:gridCol w:w="620"/>
        <w:gridCol w:w="713"/>
        <w:gridCol w:w="599"/>
        <w:gridCol w:w="716"/>
        <w:gridCol w:w="525"/>
      </w:tblGrid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C1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All </w:t>
            </w: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genomes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Sum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Mean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Pr(</w:t>
            </w:r>
            <w:proofErr w:type="gram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signif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no. contigs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4.762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host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0.7559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0.7559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3.32E-05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***</w:t>
            </w: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no.contigs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:host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Residuals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Signif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. Codes: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1.00E-03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6A167A" w:rsidTr="00EC5902">
        <w:trPr>
          <w:trHeight w:val="227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C1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Top 36</w:t>
            </w: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assemblies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(&lt;1000 contigs)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Sum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Mean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Pr(</w:t>
            </w:r>
            <w:proofErr w:type="gram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signif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no. contigs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host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0.7248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0.7248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***</w:t>
            </w: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no.contigs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:host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Residuals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14CAE" w:rsidRPr="00C735BA" w:rsidTr="00EC590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Signif</w:t>
            </w:r>
            <w:proofErr w:type="spellEnd"/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. Codes: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1.00E-03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CAE" w:rsidRPr="00C735BA" w:rsidRDefault="00C14CA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35BA"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</w:tr>
    </w:tbl>
    <w:p w:rsidR="00B27CA5" w:rsidRDefault="00B27CA5"/>
    <w:p w:rsidR="00D37424" w:rsidRPr="00D37424" w:rsidRDefault="00D37424">
      <w:pPr>
        <w:rPr>
          <w:lang w:val="en-US"/>
        </w:rPr>
      </w:pPr>
      <w:r w:rsidRPr="00D37424">
        <w:rPr>
          <w:lang w:val="en-US"/>
        </w:rPr>
        <w:t xml:space="preserve">Values of host range, number of </w:t>
      </w:r>
      <w:proofErr w:type="spellStart"/>
      <w:r w:rsidRPr="00D37424">
        <w:rPr>
          <w:lang w:val="en-US"/>
        </w:rPr>
        <w:t>conti</w:t>
      </w:r>
      <w:r>
        <w:rPr>
          <w:lang w:val="en-US"/>
        </w:rPr>
        <w:t>gs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codon</w:t>
      </w:r>
      <w:proofErr w:type="spellEnd"/>
      <w:r>
        <w:rPr>
          <w:lang w:val="en-US"/>
        </w:rPr>
        <w:t xml:space="preserve"> optimization (S) for each genome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3794"/>
        <w:gridCol w:w="861"/>
        <w:gridCol w:w="822"/>
        <w:gridCol w:w="557"/>
      </w:tblGrid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Host range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no contigs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S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Tuber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melanosporum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0.230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Myceliophthora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thermophila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0.246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Magnaporthe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oryzae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0.437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Aspergillus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fumigatus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0.609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Encephalitozoon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intestinalis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0.313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Cryptococcus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neoformans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0.843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sclerotinia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sclerotiorum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0.524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Dothistroma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septosporum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0.211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Zymoseptoria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tritici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-0.019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Agaricus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bisporus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0.361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Fusarium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graminearum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0.788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Serpula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lacrymans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-0.001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Chaetomium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globosum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0.148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Sporisorium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reilianum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0.476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Pyrenophora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tritici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-repentis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0.419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Laccaria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bicolor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-0.026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Verticilium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dahliae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0.537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Pseudocercospora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fijiensis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0.227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Batrachochytrium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dendrobatidis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0.545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Rhizopus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oryzae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0.625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Botrytis cinerea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0.597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Rhodotorula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toruloides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0.331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Oidiodendron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maius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0.147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Penicillium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digitatum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0.545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Stagonospora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nodorum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0.155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Beauveria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bassiana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0.616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lastRenderedPageBreak/>
              <w:t>Metarhizium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acridum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0.647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Rhizoctonia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solani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0.432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Wolfiporia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cocos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0.217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Gonapodya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prolifera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0.115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Puccinia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graminis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-0.032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Taphrina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deformans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0.403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Melampsora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larici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-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populina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0.194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Nosema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ceranae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0.021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Colletotrichum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graminicola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0.572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Alternaria</w:t>
            </w:r>
            <w:proofErr w:type="spellEnd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fr-FR"/>
              </w:rPr>
              <w:t>brassicicola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0.400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Rozella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allomycis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0.236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Pseudogymnoascus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destructans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Geomyces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destructans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0.484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Moniliophthora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roreri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0.406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Passalora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fulva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-0.011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Erysiphe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necator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0.174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Ophiocordyceps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unilateralis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0.166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Blumeria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graminis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0.116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Colletotrichum</w:t>
            </w:r>
            <w:proofErr w:type="spellEnd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higginsianum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10235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0.393</w:t>
            </w:r>
          </w:p>
        </w:tc>
      </w:tr>
      <w:tr w:rsidR="00D37424" w:rsidRPr="00D37424" w:rsidTr="00D37424">
        <w:trPr>
          <w:trHeight w:hRule="exact" w:val="28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7424" w:rsidRPr="00D37424" w:rsidRDefault="00D37424" w:rsidP="00D374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 xml:space="preserve">Puccinia </w:t>
            </w:r>
            <w:proofErr w:type="spellStart"/>
            <w:r w:rsidRPr="00D374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fr-FR"/>
              </w:rPr>
              <w:t>triticina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424" w:rsidRPr="00D37424" w:rsidRDefault="00D37424" w:rsidP="00D3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374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0.204</w:t>
            </w:r>
          </w:p>
        </w:tc>
      </w:tr>
    </w:tbl>
    <w:p w:rsidR="00D37424" w:rsidRDefault="00D37424"/>
    <w:sectPr w:rsidR="00D37424" w:rsidSect="00B2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1ef757c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CAE"/>
    <w:rsid w:val="00B27CA5"/>
    <w:rsid w:val="00C14CAE"/>
    <w:rsid w:val="00D3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2239</Characters>
  <Application>Microsoft Office Word</Application>
  <DocSecurity>0</DocSecurity>
  <Lines>18</Lines>
  <Paragraphs>5</Paragraphs>
  <ScaleCrop>false</ScaleCrop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sraffaele</dc:creator>
  <cp:lastModifiedBy>sraffaele</cp:lastModifiedBy>
  <cp:revision>2</cp:revision>
  <dcterms:created xsi:type="dcterms:W3CDTF">2016-12-15T13:52:00Z</dcterms:created>
  <dcterms:modified xsi:type="dcterms:W3CDTF">2016-12-15T14:04:00Z</dcterms:modified>
</cp:coreProperties>
</file>