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168" w:rsidRPr="002C2F09" w:rsidRDefault="00753168" w:rsidP="00753168">
      <w:pPr>
        <w:tabs>
          <w:tab w:val="left" w:pos="8550"/>
        </w:tabs>
        <w:spacing w:before="120"/>
        <w:jc w:val="both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 xml:space="preserve">Supplementary file </w:t>
      </w:r>
      <w:r w:rsidRPr="002C2F09">
        <w:rPr>
          <w:rFonts w:ascii="Arial" w:eastAsia="Arial Unicode MS" w:hAnsi="Arial" w:cs="Arial"/>
          <w:b/>
        </w:rPr>
        <w:t xml:space="preserve">4. Unconstrained kinetic parameters on the </w:t>
      </w:r>
      <w:r w:rsidRPr="002C2F09">
        <w:rPr>
          <w:rFonts w:ascii="Arial" w:eastAsia="Arial Unicode MS" w:hAnsi="Arial" w:cs="Arial"/>
          <w:b/>
          <w:i/>
        </w:rPr>
        <w:t>Mtb</w:t>
      </w:r>
      <w:r w:rsidRPr="002C2F09">
        <w:rPr>
          <w:rFonts w:ascii="Arial" w:eastAsia="Arial Unicode MS" w:hAnsi="Arial" w:cs="Arial"/>
          <w:b/>
        </w:rPr>
        <w:t xml:space="preserve"> AP3 promoter.</w:t>
      </w:r>
    </w:p>
    <w:p w:rsidR="00753168" w:rsidRPr="00243244" w:rsidRDefault="00753168" w:rsidP="00753168">
      <w:pPr>
        <w:tabs>
          <w:tab w:val="left" w:pos="8550"/>
        </w:tabs>
        <w:spacing w:before="120"/>
        <w:jc w:val="both"/>
        <w:rPr>
          <w:rFonts w:ascii="Arial" w:eastAsia="Arial Unicode MS" w:hAnsi="Arial" w:cs="Arial"/>
          <w:sz w:val="18"/>
        </w:rPr>
      </w:pPr>
      <w:r w:rsidRPr="00243244">
        <w:rPr>
          <w:rFonts w:ascii="Arial" w:eastAsia="Arial Unicode MS" w:hAnsi="Arial" w:cs="Arial"/>
          <w:noProof/>
          <w:sz w:val="18"/>
        </w:rPr>
        <w:drawing>
          <wp:anchor distT="0" distB="0" distL="114300" distR="114300" simplePos="0" relativeHeight="251660288" behindDoc="0" locked="0" layoutInCell="1" allowOverlap="1" wp14:anchorId="7173E79F" wp14:editId="0689BFB8">
            <wp:simplePos x="0" y="0"/>
            <wp:positionH relativeFrom="column">
              <wp:posOffset>2057400</wp:posOffset>
            </wp:positionH>
            <wp:positionV relativeFrom="paragraph">
              <wp:posOffset>219075</wp:posOffset>
            </wp:positionV>
            <wp:extent cx="1997075" cy="558165"/>
            <wp:effectExtent l="0" t="0" r="9525" b="635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3244">
        <w:rPr>
          <w:rFonts w:ascii="Arial" w:eastAsia="Arial Unicode MS" w:hAnsi="Arial" w:cs="Arial"/>
          <w:noProof/>
          <w:sz w:val="18"/>
        </w:rPr>
        <w:drawing>
          <wp:anchor distT="0" distB="0" distL="114300" distR="114300" simplePos="0" relativeHeight="251661312" behindDoc="0" locked="0" layoutInCell="1" allowOverlap="1" wp14:anchorId="6D8C9A2E" wp14:editId="4603DA96">
            <wp:simplePos x="0" y="0"/>
            <wp:positionH relativeFrom="column">
              <wp:posOffset>1143000</wp:posOffset>
            </wp:positionH>
            <wp:positionV relativeFrom="paragraph">
              <wp:posOffset>1109980</wp:posOffset>
            </wp:positionV>
            <wp:extent cx="3654425" cy="209550"/>
            <wp:effectExtent l="0" t="0" r="3175" b="0"/>
            <wp:wrapTopAndBottom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4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3244">
        <w:rPr>
          <w:rFonts w:ascii="Arial" w:eastAsia="Arial Unicode MS" w:hAnsi="Arial" w:cs="Arial"/>
          <w:sz w:val="18"/>
        </w:rPr>
        <w:t>The fluorescence progress curves (Figures 3A-C, S3B-C) were fit according to the 3-step sequential kinetic scheme:</w:t>
      </w:r>
    </w:p>
    <w:p w:rsidR="00753168" w:rsidRPr="00243244" w:rsidRDefault="00753168" w:rsidP="00753168">
      <w:pPr>
        <w:tabs>
          <w:tab w:val="left" w:pos="8550"/>
        </w:tabs>
        <w:spacing w:before="120"/>
        <w:jc w:val="both"/>
        <w:rPr>
          <w:rFonts w:ascii="Arial" w:eastAsia="Arial Unicode MS" w:hAnsi="Arial" w:cs="Arial"/>
          <w:sz w:val="18"/>
        </w:rPr>
      </w:pPr>
      <w:r w:rsidRPr="00243244">
        <w:rPr>
          <w:rFonts w:ascii="Arial" w:eastAsia="Arial Unicode MS" w:hAnsi="Arial" w:cs="Arial"/>
          <w:sz w:val="18"/>
        </w:rPr>
        <w:t>The following equation was used to describe the fluorescence signal (the observable):</w:t>
      </w:r>
    </w:p>
    <w:p w:rsidR="00753168" w:rsidRPr="00243244" w:rsidRDefault="00753168" w:rsidP="00753168">
      <w:pPr>
        <w:tabs>
          <w:tab w:val="left" w:pos="8550"/>
        </w:tabs>
        <w:spacing w:before="120"/>
        <w:jc w:val="both"/>
        <w:rPr>
          <w:rFonts w:ascii="Arial" w:eastAsia="Arial Unicode MS" w:hAnsi="Arial" w:cs="Arial"/>
          <w:sz w:val="18"/>
        </w:rPr>
      </w:pPr>
      <w:r w:rsidRPr="00243244">
        <w:rPr>
          <w:rFonts w:ascii="Arial" w:eastAsia="Arial Unicode MS" w:hAnsi="Arial" w:cs="Arial"/>
          <w:sz w:val="18"/>
        </w:rPr>
        <w:t xml:space="preserve">P (free Cy3-AP3 promoter DNA; Figure S3A), and the DNA-bound RNAP species RP1, RP2, and RPo are the fluorescent species present in the kinetic scheme. The fluorescence scale factors a, b, c, and d account for different fluorescence yields for each species (because of the changing Cy3 environment). </w:t>
      </w:r>
    </w:p>
    <w:tbl>
      <w:tblPr>
        <w:tblStyle w:val="TableGrid"/>
        <w:tblW w:w="8658" w:type="dxa"/>
        <w:tblLook w:val="04A0" w:firstRow="1" w:lastRow="0" w:firstColumn="1" w:lastColumn="0" w:noHBand="0" w:noVBand="1"/>
      </w:tblPr>
      <w:tblGrid>
        <w:gridCol w:w="1008"/>
        <w:gridCol w:w="1260"/>
        <w:gridCol w:w="1260"/>
        <w:gridCol w:w="1260"/>
        <w:gridCol w:w="1350"/>
        <w:gridCol w:w="1350"/>
        <w:gridCol w:w="1170"/>
      </w:tblGrid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  <w:tc>
          <w:tcPr>
            <w:tcW w:w="6480" w:type="dxa"/>
            <w:gridSpan w:val="5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RNAP</w:t>
            </w:r>
          </w:p>
        </w:tc>
        <w:tc>
          <w:tcPr>
            <w:tcW w:w="117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  <w:tc>
          <w:tcPr>
            <w:tcW w:w="5130" w:type="dxa"/>
            <w:gridSpan w:val="4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i/>
                <w:sz w:val="14"/>
              </w:rPr>
              <w:t>Mbo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holo</w:t>
            </w:r>
          </w:p>
        </w:tc>
        <w:tc>
          <w:tcPr>
            <w:tcW w:w="135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i/>
                <w:sz w:val="14"/>
              </w:rPr>
              <w:t>Eco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holo</w:t>
            </w:r>
          </w:p>
        </w:tc>
        <w:tc>
          <w:tcPr>
            <w:tcW w:w="117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Std. dev. (% of mean value)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g</w:t>
            </w: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parameter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+RbpA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+ CarD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+CarD+RbpA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n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a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3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b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3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b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2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2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b</w:t>
            </w:r>
          </w:p>
        </w:tc>
        <w:tc>
          <w:tcPr>
            <w:tcW w:w="135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c</w:t>
            </w:r>
          </w:p>
        </w:tc>
        <w:tc>
          <w:tcPr>
            <w:tcW w:w="117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i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1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(M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-1</w:t>
            </w:r>
            <w:r w:rsidRPr="00F00ADB">
              <w:rPr>
                <w:rFonts w:ascii="Arial" w:eastAsia="Calibri" w:hAnsi="Arial" w:cs="Arial"/>
                <w:sz w:val="14"/>
              </w:rPr>
              <w:t>s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-1</w:t>
            </w:r>
            <w:r w:rsidRPr="00F00ADB">
              <w:rPr>
                <w:rFonts w:ascii="Arial" w:eastAsia="Calibri" w:hAnsi="Arial" w:cs="Arial"/>
                <w:sz w:val="14"/>
              </w:rPr>
              <w:t>)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(9.8 ± 0.6)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(1.7 ± 0.3)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CCFFCC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(5.3 ± 0.5)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7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(1.2 ± 0.1)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8</w:t>
            </w:r>
          </w:p>
        </w:tc>
        <w:tc>
          <w:tcPr>
            <w:tcW w:w="1350" w:type="dxa"/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(1.2 ± 0.1)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8</w:t>
            </w:r>
          </w:p>
        </w:tc>
        <w:tc>
          <w:tcPr>
            <w:tcW w:w="117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84</w:t>
            </w: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i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-1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(s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-1</w:t>
            </w:r>
            <w:r w:rsidRPr="00F00ADB">
              <w:rPr>
                <w:rFonts w:ascii="Arial" w:eastAsia="Calibri" w:hAnsi="Arial" w:cs="Arial"/>
                <w:sz w:val="14"/>
              </w:rPr>
              <w:t>)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2.6 ± 0.2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1.6 ± 0.4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5.3 ± 0.9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33 ± 13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3.4 ± 0.5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150</w:t>
            </w: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1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 xml:space="preserve"> </w:t>
            </w:r>
            <w:r w:rsidRPr="00F00ADB">
              <w:rPr>
                <w:rFonts w:ascii="Arial" w:eastAsia="Calibri" w:hAnsi="Arial" w:cs="Arial"/>
                <w:sz w:val="14"/>
              </w:rPr>
              <w:t>(M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-1</w:t>
            </w:r>
            <w:r w:rsidRPr="00F00ADB">
              <w:rPr>
                <w:rFonts w:ascii="Arial" w:eastAsia="Calibri" w:hAnsi="Arial" w:cs="Arial"/>
                <w:sz w:val="14"/>
              </w:rPr>
              <w:t>)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d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(3.7 ± 0.5)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(1.0 ± 0.3) 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(1.0 ± 0.2)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7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&gt; (3.5 ± 1.4)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CCFFCC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&gt; (3.5 ± 0.6)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i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2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(s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-1</w:t>
            </w:r>
            <w:r w:rsidRPr="00F00ADB">
              <w:rPr>
                <w:rFonts w:ascii="Arial" w:eastAsia="Calibri" w:hAnsi="Arial" w:cs="Arial"/>
                <w:sz w:val="14"/>
              </w:rPr>
              <w:t>)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0.40 ± 0.02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1.5 ± 0.2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CCFFCC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3.6 ± 0.5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10 ± 0.7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1.2 ± 0.03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120</w:t>
            </w: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i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-2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(s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-1</w:t>
            </w:r>
            <w:r w:rsidRPr="00F00ADB">
              <w:rPr>
                <w:rFonts w:ascii="Arial" w:eastAsia="Calibri" w:hAnsi="Arial" w:cs="Arial"/>
                <w:sz w:val="14"/>
              </w:rPr>
              <w:t>)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0.047 ± 0.005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0.095 ± 0.019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0.062 ± 0.005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0.033 ± 0.002</w:t>
            </w:r>
          </w:p>
        </w:tc>
        <w:tc>
          <w:tcPr>
            <w:tcW w:w="135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0.11 ± 0.01</w:t>
            </w:r>
          </w:p>
        </w:tc>
        <w:tc>
          <w:tcPr>
            <w:tcW w:w="117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47</w:t>
            </w: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2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8.5 ± 1.0</w:t>
            </w:r>
          </w:p>
        </w:tc>
        <w:tc>
          <w:tcPr>
            <w:tcW w:w="126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15 ± 4</w:t>
            </w:r>
          </w:p>
        </w:tc>
        <w:tc>
          <w:tcPr>
            <w:tcW w:w="1260" w:type="dxa"/>
            <w:shd w:val="clear" w:color="auto" w:fill="CCFFCC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58 ± 9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310 ± 27</w:t>
            </w:r>
          </w:p>
        </w:tc>
        <w:tc>
          <w:tcPr>
            <w:tcW w:w="135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11 ± 1</w:t>
            </w:r>
          </w:p>
        </w:tc>
        <w:tc>
          <w:tcPr>
            <w:tcW w:w="117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i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3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(s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-1</w:t>
            </w:r>
            <w:r w:rsidRPr="00F00ADB">
              <w:rPr>
                <w:rFonts w:ascii="Arial" w:eastAsia="Calibri" w:hAnsi="Arial" w:cs="Arial"/>
                <w:sz w:val="14"/>
              </w:rPr>
              <w:t>)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0.049 ± 0.007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0.063 ± 0.011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0.064 ± 0.011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0.10 ± 0.03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0.084 ± 0.015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26</w:t>
            </w: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i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-3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(s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-1</w:t>
            </w:r>
            <w:r w:rsidRPr="00F00ADB">
              <w:rPr>
                <w:rFonts w:ascii="Arial" w:eastAsia="Calibri" w:hAnsi="Arial" w:cs="Arial"/>
                <w:sz w:val="14"/>
              </w:rPr>
              <w:t>)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0.013 ± 0.003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0.013 ± 0.002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99CC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2.0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00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(1.2 ± 0.2)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00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8.9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110</w:t>
            </w:r>
          </w:p>
        </w:tc>
      </w:tr>
      <w:tr w:rsidR="00753168" w:rsidRPr="00437169" w:rsidTr="003D18E3">
        <w:tc>
          <w:tcPr>
            <w:tcW w:w="1008" w:type="dxa"/>
            <w:tcBorders>
              <w:bottom w:val="single" w:sz="4" w:space="0" w:color="auto"/>
            </w:tcBorders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3.8 ± 1.0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4.9 ± 1.2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CCFFCC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32 ± 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89 ± 27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(9.4 ± 1.7)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</w:tr>
      <w:tr w:rsidR="00753168" w:rsidRPr="00437169" w:rsidTr="003D18E3">
        <w:tc>
          <w:tcPr>
            <w:tcW w:w="1008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1</w:t>
            </w:r>
            <w:r w:rsidRPr="00F00ADB">
              <w:rPr>
                <w:rFonts w:ascii="Arial" w:eastAsia="Calibri" w:hAnsi="Arial" w:cs="Arial"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2</w:t>
            </w:r>
            <w:r w:rsidRPr="00F00ADB">
              <w:rPr>
                <w:rFonts w:ascii="Arial" w:eastAsia="Calibri" w:hAnsi="Arial" w:cs="Arial"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3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(M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-1</w:t>
            </w:r>
            <w:r w:rsidRPr="00F00ADB">
              <w:rPr>
                <w:rFonts w:ascii="Arial" w:eastAsia="Calibri" w:hAnsi="Arial" w:cs="Arial"/>
                <w:sz w:val="14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(1.2 ± 0.5)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CCFFCC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(7.8 ± 3.5)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(1.8 ± 0.6)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10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(9.8 ± 4.9)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10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3.6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i/>
                <w:sz w:val="14"/>
              </w:rPr>
              <w:t>k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d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(s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-1</w:t>
            </w:r>
            <w:r w:rsidRPr="00F00ADB">
              <w:rPr>
                <w:rFonts w:ascii="Arial" w:eastAsia="Calibri" w:hAnsi="Arial" w:cs="Arial"/>
                <w:sz w:val="14"/>
              </w:rPr>
              <w:t>)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e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(5.6 ± 0.8)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(6.9 ± 3.1)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99CC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(9.5 ± 5.9)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00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(2.8 ± 0.8)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00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5.0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-7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t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1/2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(min)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e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2.1 ± 0.3</w:t>
            </w:r>
          </w:p>
        </w:tc>
        <w:tc>
          <w:tcPr>
            <w:tcW w:w="126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1.7 ± 0.8</w:t>
            </w:r>
          </w:p>
        </w:tc>
        <w:tc>
          <w:tcPr>
            <w:tcW w:w="1260" w:type="dxa"/>
            <w:shd w:val="clear" w:color="auto" w:fill="CCFFCC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12 ± 7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42 ± 13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00FF00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2.3 x 10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  <w:vertAlign w:val="superscript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t</w:t>
            </w:r>
            <w:r w:rsidRPr="00F00ADB">
              <w:rPr>
                <w:rFonts w:ascii="Arial" w:eastAsia="Calibri" w:hAnsi="Arial" w:cs="Arial"/>
                <w:sz w:val="14"/>
                <w:vertAlign w:val="subscript"/>
              </w:rPr>
              <w:t>1/2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exp</w:t>
            </w:r>
            <w:r w:rsidRPr="00F00ADB">
              <w:rPr>
                <w:rFonts w:ascii="Arial" w:eastAsia="Calibri" w:hAnsi="Arial" w:cs="Arial"/>
                <w:sz w:val="14"/>
              </w:rPr>
              <w:t xml:space="preserve"> (min)</w:t>
            </w:r>
            <w:r w:rsidRPr="00F00ADB">
              <w:rPr>
                <w:rFonts w:ascii="Arial" w:eastAsia="Calibri" w:hAnsi="Arial" w:cs="Arial"/>
                <w:sz w:val="14"/>
                <w:vertAlign w:val="superscript"/>
              </w:rPr>
              <w:t>f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~2</w:t>
            </w:r>
          </w:p>
        </w:tc>
        <w:tc>
          <w:tcPr>
            <w:tcW w:w="126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~1.5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~10</w:t>
            </w:r>
          </w:p>
        </w:tc>
        <w:tc>
          <w:tcPr>
            <w:tcW w:w="135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~30</w:t>
            </w:r>
          </w:p>
        </w:tc>
        <w:tc>
          <w:tcPr>
            <w:tcW w:w="135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&gt;&gt; 60</w:t>
            </w:r>
          </w:p>
        </w:tc>
        <w:tc>
          <w:tcPr>
            <w:tcW w:w="117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a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0.30 ± 0.02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0.20 ± 0.02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0.27 ± 0.01</w:t>
            </w:r>
          </w:p>
        </w:tc>
        <w:tc>
          <w:tcPr>
            <w:tcW w:w="135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0.32 ± 0.04</w:t>
            </w:r>
          </w:p>
        </w:tc>
        <w:tc>
          <w:tcPr>
            <w:tcW w:w="135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0.28</w:t>
            </w:r>
          </w:p>
        </w:tc>
        <w:tc>
          <w:tcPr>
            <w:tcW w:w="117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17</w:t>
            </w: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b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0.50 ± 0.02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0.61 ± 0.04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0.49 ± 0.04</w:t>
            </w:r>
          </w:p>
        </w:tc>
        <w:tc>
          <w:tcPr>
            <w:tcW w:w="135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0.26 ± 0.02</w:t>
            </w:r>
          </w:p>
        </w:tc>
        <w:tc>
          <w:tcPr>
            <w:tcW w:w="135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0.39</w:t>
            </w:r>
          </w:p>
        </w:tc>
        <w:tc>
          <w:tcPr>
            <w:tcW w:w="117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29</w:t>
            </w: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c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1.2 ± 0.1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1.2 ± 0.1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1.3 ± 0.1</w:t>
            </w:r>
          </w:p>
        </w:tc>
        <w:tc>
          <w:tcPr>
            <w:tcW w:w="135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1.3 ± 0.1</w:t>
            </w:r>
          </w:p>
        </w:tc>
        <w:tc>
          <w:tcPr>
            <w:tcW w:w="135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1.1</w:t>
            </w:r>
          </w:p>
        </w:tc>
        <w:tc>
          <w:tcPr>
            <w:tcW w:w="117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7</w:t>
            </w:r>
          </w:p>
        </w:tc>
      </w:tr>
      <w:tr w:rsidR="00753168" w:rsidRPr="00437169" w:rsidTr="003D18E3">
        <w:tc>
          <w:tcPr>
            <w:tcW w:w="1008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d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1.2 ± 0.1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1.2 ± 0.1</w:t>
            </w:r>
          </w:p>
        </w:tc>
        <w:tc>
          <w:tcPr>
            <w:tcW w:w="126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1.3 ± 0.1</w:t>
            </w:r>
          </w:p>
        </w:tc>
        <w:tc>
          <w:tcPr>
            <w:tcW w:w="135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1.3</w:t>
            </w:r>
          </w:p>
        </w:tc>
        <w:tc>
          <w:tcPr>
            <w:tcW w:w="1350" w:type="dxa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1.2</w:t>
            </w:r>
          </w:p>
        </w:tc>
        <w:tc>
          <w:tcPr>
            <w:tcW w:w="1170" w:type="dxa"/>
            <w:shd w:val="clear" w:color="auto" w:fill="auto"/>
          </w:tcPr>
          <w:p w:rsidR="00753168" w:rsidRPr="00F00ADB" w:rsidRDefault="00753168" w:rsidP="003D18E3">
            <w:pPr>
              <w:spacing w:before="120"/>
              <w:jc w:val="center"/>
              <w:rPr>
                <w:rFonts w:ascii="Arial" w:eastAsia="Calibri" w:hAnsi="Arial" w:cs="Arial"/>
                <w:sz w:val="14"/>
              </w:rPr>
            </w:pPr>
            <w:r w:rsidRPr="00F00ADB">
              <w:rPr>
                <w:rFonts w:ascii="Arial" w:eastAsia="Calibri" w:hAnsi="Arial" w:cs="Arial"/>
                <w:sz w:val="14"/>
              </w:rPr>
              <w:t>4</w:t>
            </w:r>
          </w:p>
        </w:tc>
      </w:tr>
    </w:tbl>
    <w:p w:rsidR="00753168" w:rsidRPr="00243244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sz w:val="18"/>
        </w:rPr>
        <w:t>Color coding:</w:t>
      </w:r>
    </w:p>
    <w:p w:rsidR="00753168" w:rsidRPr="00243244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sz w:val="18"/>
        </w:rPr>
        <w:tab/>
        <w:t xml:space="preserve">Light green: 5 – 10-fold &gt; </w:t>
      </w:r>
      <w:r w:rsidRPr="00243244">
        <w:rPr>
          <w:rFonts w:ascii="Arial" w:eastAsia="Calibri" w:hAnsi="Arial" w:cs="Arial"/>
          <w:i/>
          <w:sz w:val="18"/>
        </w:rPr>
        <w:t>Mbo</w:t>
      </w:r>
      <w:r w:rsidRPr="00243244">
        <w:rPr>
          <w:rFonts w:ascii="Arial" w:eastAsia="Calibri" w:hAnsi="Arial" w:cs="Arial"/>
          <w:sz w:val="18"/>
        </w:rPr>
        <w:t xml:space="preserve"> holo</w:t>
      </w:r>
      <w:r w:rsidRPr="00243244">
        <w:rPr>
          <w:rFonts w:ascii="Arial" w:eastAsia="Calibri" w:hAnsi="Arial" w:cs="Arial"/>
          <w:sz w:val="18"/>
        </w:rPr>
        <w:tab/>
      </w:r>
      <w:r w:rsidRPr="00243244">
        <w:rPr>
          <w:rFonts w:ascii="Arial" w:eastAsia="Calibri" w:hAnsi="Arial" w:cs="Arial"/>
          <w:sz w:val="18"/>
        </w:rPr>
        <w:tab/>
        <w:t xml:space="preserve">Light red: 5 – 10-fold &lt; </w:t>
      </w:r>
      <w:r w:rsidRPr="00243244">
        <w:rPr>
          <w:rFonts w:ascii="Arial" w:eastAsia="Calibri" w:hAnsi="Arial" w:cs="Arial"/>
          <w:i/>
          <w:sz w:val="18"/>
        </w:rPr>
        <w:t>Mbo</w:t>
      </w:r>
      <w:r w:rsidRPr="00243244">
        <w:rPr>
          <w:rFonts w:ascii="Arial" w:eastAsia="Calibri" w:hAnsi="Arial" w:cs="Arial"/>
          <w:sz w:val="18"/>
        </w:rPr>
        <w:t xml:space="preserve"> holo</w:t>
      </w:r>
    </w:p>
    <w:p w:rsidR="00753168" w:rsidRPr="00243244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sz w:val="18"/>
        </w:rPr>
        <w:tab/>
        <w:t xml:space="preserve">Dark green: &gt; 10-fold over </w:t>
      </w:r>
      <w:r w:rsidRPr="00243244">
        <w:rPr>
          <w:rFonts w:ascii="Arial" w:eastAsia="Calibri" w:hAnsi="Arial" w:cs="Arial"/>
          <w:i/>
          <w:sz w:val="18"/>
        </w:rPr>
        <w:t>Mbo</w:t>
      </w:r>
      <w:r>
        <w:rPr>
          <w:rFonts w:ascii="Arial" w:eastAsia="Calibri" w:hAnsi="Arial" w:cs="Arial"/>
          <w:sz w:val="18"/>
        </w:rPr>
        <w:t xml:space="preserve"> holo</w:t>
      </w:r>
      <w:r>
        <w:rPr>
          <w:rFonts w:ascii="Arial" w:eastAsia="Calibri" w:hAnsi="Arial" w:cs="Arial"/>
          <w:sz w:val="18"/>
        </w:rPr>
        <w:tab/>
        <w:t>Dark red: &lt;</w:t>
      </w:r>
      <w:r w:rsidRPr="00243244">
        <w:rPr>
          <w:rFonts w:ascii="Arial" w:eastAsia="Calibri" w:hAnsi="Arial" w:cs="Arial"/>
          <w:sz w:val="18"/>
        </w:rPr>
        <w:t xml:space="preserve"> 10-fold over </w:t>
      </w:r>
      <w:r w:rsidRPr="00243244">
        <w:rPr>
          <w:rFonts w:ascii="Arial" w:eastAsia="Calibri" w:hAnsi="Arial" w:cs="Arial"/>
          <w:i/>
          <w:sz w:val="18"/>
        </w:rPr>
        <w:t>Mbo</w:t>
      </w:r>
      <w:r w:rsidRPr="00243244">
        <w:rPr>
          <w:rFonts w:ascii="Arial" w:eastAsia="Calibri" w:hAnsi="Arial" w:cs="Arial"/>
          <w:sz w:val="18"/>
        </w:rPr>
        <w:t xml:space="preserve"> holo</w:t>
      </w:r>
    </w:p>
    <w:p w:rsidR="00753168" w:rsidRPr="00243244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sz w:val="18"/>
          <w:vertAlign w:val="superscript"/>
        </w:rPr>
        <w:t>a</w:t>
      </w:r>
      <w:r w:rsidRPr="00243244">
        <w:rPr>
          <w:rFonts w:ascii="Arial" w:eastAsia="Calibri" w:hAnsi="Arial" w:cs="Arial"/>
          <w:sz w:val="18"/>
        </w:rPr>
        <w:t xml:space="preserve"> Number of independent trials.</w:t>
      </w:r>
    </w:p>
    <w:p w:rsidR="00753168" w:rsidRPr="00243244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sz w:val="18"/>
          <w:vertAlign w:val="superscript"/>
        </w:rPr>
        <w:t>b</w:t>
      </w:r>
      <w:r w:rsidRPr="00243244">
        <w:rPr>
          <w:rFonts w:ascii="Arial" w:eastAsia="Calibri" w:hAnsi="Arial" w:cs="Arial"/>
          <w:sz w:val="18"/>
        </w:rPr>
        <w:t xml:space="preserve"> The values listed for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1</w:t>
      </w:r>
      <w:r w:rsidRPr="00243244">
        <w:rPr>
          <w:rFonts w:ascii="Arial" w:eastAsia="Calibri" w:hAnsi="Arial" w:cs="Arial"/>
          <w:sz w:val="18"/>
        </w:rPr>
        <w:t xml:space="preserve">,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-1</w:t>
      </w:r>
      <w:r w:rsidRPr="00243244">
        <w:rPr>
          <w:rFonts w:ascii="Arial" w:eastAsia="Calibri" w:hAnsi="Arial" w:cs="Arial"/>
          <w:sz w:val="18"/>
        </w:rPr>
        <w:t xml:space="preserve">,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2</w:t>
      </w:r>
      <w:r w:rsidRPr="00243244">
        <w:rPr>
          <w:rFonts w:ascii="Arial" w:eastAsia="Calibri" w:hAnsi="Arial" w:cs="Arial"/>
          <w:sz w:val="18"/>
        </w:rPr>
        <w:t xml:space="preserve">,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-2</w:t>
      </w:r>
      <w:r w:rsidRPr="00243244">
        <w:rPr>
          <w:rFonts w:ascii="Arial" w:eastAsia="Calibri" w:hAnsi="Arial" w:cs="Arial"/>
          <w:sz w:val="18"/>
        </w:rPr>
        <w:t xml:space="preserve">,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3</w:t>
      </w:r>
      <w:r w:rsidRPr="00243244">
        <w:rPr>
          <w:rFonts w:ascii="Arial" w:eastAsia="Calibri" w:hAnsi="Arial" w:cs="Arial"/>
          <w:sz w:val="18"/>
        </w:rPr>
        <w:t xml:space="preserve">,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-3</w:t>
      </w:r>
      <w:r w:rsidRPr="00243244">
        <w:rPr>
          <w:rFonts w:ascii="Arial" w:eastAsia="Calibri" w:hAnsi="Arial" w:cs="Arial"/>
          <w:sz w:val="18"/>
        </w:rPr>
        <w:t>, a, b, c, and d (parameters determined directly from fitting the raw fluorescence progress curves) are the means across the independent trials. The errors listed are the standard errors across the independent trials.</w:t>
      </w:r>
    </w:p>
    <w:p w:rsidR="00753168" w:rsidRPr="00243244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sz w:val="18"/>
          <w:vertAlign w:val="superscript"/>
        </w:rPr>
        <w:t>c</w:t>
      </w:r>
      <w:r w:rsidRPr="00243244">
        <w:rPr>
          <w:rFonts w:ascii="Arial" w:eastAsia="Calibri" w:hAnsi="Arial" w:cs="Arial"/>
          <w:sz w:val="18"/>
        </w:rPr>
        <w:t xml:space="preserve"> For </w:t>
      </w:r>
      <w:r w:rsidRPr="00243244">
        <w:rPr>
          <w:rFonts w:ascii="Arial" w:eastAsia="Calibri" w:hAnsi="Arial" w:cs="Arial"/>
          <w:i/>
          <w:sz w:val="18"/>
        </w:rPr>
        <w:t>Eco</w:t>
      </w:r>
      <w:r w:rsidRPr="00243244">
        <w:rPr>
          <w:rFonts w:ascii="Arial" w:eastAsia="Calibri" w:hAnsi="Arial" w:cs="Arial"/>
          <w:sz w:val="18"/>
        </w:rPr>
        <w:t xml:space="preserve"> holo, n = 1. The values listed for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1</w:t>
      </w:r>
      <w:r w:rsidRPr="00243244">
        <w:rPr>
          <w:rFonts w:ascii="Arial" w:eastAsia="Calibri" w:hAnsi="Arial" w:cs="Arial"/>
          <w:sz w:val="18"/>
        </w:rPr>
        <w:t xml:space="preserve">,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-1</w:t>
      </w:r>
      <w:r w:rsidRPr="00243244">
        <w:rPr>
          <w:rFonts w:ascii="Arial" w:eastAsia="Calibri" w:hAnsi="Arial" w:cs="Arial"/>
          <w:sz w:val="18"/>
        </w:rPr>
        <w:t xml:space="preserve">,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2</w:t>
      </w:r>
      <w:r w:rsidRPr="00243244">
        <w:rPr>
          <w:rFonts w:ascii="Arial" w:eastAsia="Calibri" w:hAnsi="Arial" w:cs="Arial"/>
          <w:sz w:val="18"/>
        </w:rPr>
        <w:t xml:space="preserve">,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-2</w:t>
      </w:r>
      <w:r w:rsidRPr="00243244">
        <w:rPr>
          <w:rFonts w:ascii="Arial" w:eastAsia="Calibri" w:hAnsi="Arial" w:cs="Arial"/>
          <w:sz w:val="18"/>
        </w:rPr>
        <w:t xml:space="preserve">,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3</w:t>
      </w:r>
      <w:r w:rsidRPr="00243244">
        <w:rPr>
          <w:rFonts w:ascii="Arial" w:eastAsia="Calibri" w:hAnsi="Arial" w:cs="Arial"/>
          <w:sz w:val="18"/>
        </w:rPr>
        <w:t xml:space="preserve">,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-3</w:t>
      </w:r>
      <w:r w:rsidRPr="00243244">
        <w:rPr>
          <w:rFonts w:ascii="Arial" w:eastAsia="Calibri" w:hAnsi="Arial" w:cs="Arial"/>
          <w:sz w:val="18"/>
        </w:rPr>
        <w:t xml:space="preserve">, a, b, c, and d were determined directly from fitting the raw fluorescence progress curves (Figure 3A). The errors listed are the standard errors from the global fit as reported by Kintek Global Kinetic Explorer </w:t>
      </w:r>
      <w:r w:rsidRPr="00243244">
        <w:rPr>
          <w:rFonts w:ascii="Arial" w:eastAsia="Calibri" w:hAnsi="Arial" w:cs="Arial"/>
          <w:sz w:val="18"/>
        </w:rPr>
        <w:fldChar w:fldCharType="begin"/>
      </w:r>
      <w:r>
        <w:rPr>
          <w:rFonts w:ascii="Arial" w:eastAsia="Calibri" w:hAnsi="Arial" w:cs="Arial"/>
          <w:sz w:val="18"/>
        </w:rPr>
        <w:instrText xml:space="preserve"> ADDIN PAPERS2_CITATIONS &lt;citation&gt;&lt;uuid&gt;41A8C9D3-CC04-45CA-BC29-A3B7384EF3A5&lt;/uuid&gt;&lt;priority&gt;0&lt;/priority&gt;&lt;publications&gt;&lt;publication&gt;&lt;uuid&gt;2B26A445-FEA7-4F17-ABEC-ABD8D1F0533B&lt;/uuid&gt;&lt;volume&gt;387&lt;/volume&gt;&lt;accepted_date&gt;99200812151200000000222000&lt;/accepted_date&gt;&lt;doi&gt;10.1016/j.ab.2008.12.024&lt;/doi&gt;&lt;startpage&gt;20&lt;/startpage&gt;&lt;revision_date&gt;99200811101200000000222000&lt;/revision_date&gt;&lt;publication_date&gt;99200904011200000000222000&lt;/publication_date&gt;&lt;url&gt;http://eutils.ncbi.nlm.nih.gov/entrez/eutils/elink.fcgi?dbfrom=pubmed&amp;amp;id=19154726&amp;amp;retmode=ref&amp;amp;cmd=prlinks&lt;/url&gt;&lt;type&gt;400&lt;/type&gt;&lt;title&gt;Global kinetic explorer: a new computer program for dynamic simulation and fitting of kinetic data.&lt;/title&gt;&lt;submission_date&gt;99200808101200000000222000&lt;/submission_date&gt;&lt;number&gt;1&lt;/number&gt;&lt;institution&gt;KinTek Corporation, Austin, TX 78735, USA. kajohnson@mail.utexas.edu&lt;/institution&gt;&lt;subtype&gt;400&lt;/subtype&gt;&lt;endpage&gt;29&lt;/endpage&gt;&lt;bundle&gt;&lt;publication&gt;&lt;title&gt;Analytical Biochemistry&lt;/title&gt;&lt;type&gt;-100&lt;/type&gt;&lt;subtype&gt;-100&lt;/subtype&gt;&lt;uuid&gt;57C20297-3951-442E-99A6-59D0F3A8A2C0&lt;/uuid&gt;&lt;/publication&gt;&lt;/bundle&gt;&lt;authors&gt;&lt;author&gt;&lt;firstName&gt;Kenneth&lt;/firstName&gt;&lt;middleNames&gt;A&lt;/middleNames&gt;&lt;lastName&gt;Johnson&lt;/lastName&gt;&lt;/author&gt;&lt;author&gt;&lt;firstName&gt;Zachary&lt;/firstName&gt;&lt;middleNames&gt;B&lt;/middleNames&gt;&lt;lastName&gt;Simpson&lt;/lastName&gt;&lt;/author&gt;&lt;author&gt;&lt;firstName&gt;Thomas&lt;/firstName&gt;&lt;lastName&gt;Blom&lt;/lastName&gt;&lt;/author&gt;&lt;/authors&gt;&lt;/publication&gt;&lt;/publications&gt;&lt;cites&gt;&lt;/cites&gt;&lt;/citation&gt;</w:instrText>
      </w:r>
      <w:r w:rsidRPr="00243244">
        <w:rPr>
          <w:rFonts w:ascii="Arial" w:eastAsia="Calibri" w:hAnsi="Arial" w:cs="Arial"/>
          <w:sz w:val="18"/>
        </w:rPr>
        <w:fldChar w:fldCharType="separate"/>
      </w:r>
      <w:r>
        <w:rPr>
          <w:rFonts w:ascii="Arial" w:hAnsi="Arial" w:cs="Arial"/>
          <w:sz w:val="18"/>
          <w:szCs w:val="18"/>
        </w:rPr>
        <w:t>(Johnson et al., 2009a)</w:t>
      </w:r>
      <w:r w:rsidRPr="00243244">
        <w:rPr>
          <w:rFonts w:ascii="Arial" w:eastAsia="Calibri" w:hAnsi="Arial" w:cs="Arial"/>
          <w:sz w:val="18"/>
        </w:rPr>
        <w:fldChar w:fldCharType="end"/>
      </w:r>
      <w:r w:rsidRPr="00243244">
        <w:rPr>
          <w:rFonts w:ascii="Arial" w:eastAsia="Calibri" w:hAnsi="Arial" w:cs="Arial"/>
          <w:sz w:val="18"/>
        </w:rPr>
        <w:t>.</w:t>
      </w:r>
    </w:p>
    <w:p w:rsidR="00753168" w:rsidRPr="00243244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sz w:val="18"/>
          <w:vertAlign w:val="superscript"/>
        </w:rPr>
        <w:lastRenderedPageBreak/>
        <w:t>d</w:t>
      </w:r>
      <w:r w:rsidRPr="00243244">
        <w:rPr>
          <w:rFonts w:ascii="Arial" w:eastAsia="Calibri" w:hAnsi="Arial" w:cs="Arial"/>
          <w:sz w:val="18"/>
        </w:rPr>
        <w:t xml:space="preserve"> The values for K</w:t>
      </w:r>
      <w:r w:rsidRPr="00243244">
        <w:rPr>
          <w:rFonts w:ascii="Arial" w:eastAsia="Calibri" w:hAnsi="Arial" w:cs="Arial"/>
          <w:sz w:val="18"/>
          <w:vertAlign w:val="subscript"/>
        </w:rPr>
        <w:t>1</w:t>
      </w:r>
      <w:r w:rsidRPr="00243244">
        <w:rPr>
          <w:rFonts w:ascii="Arial" w:eastAsia="Calibri" w:hAnsi="Arial" w:cs="Arial"/>
          <w:sz w:val="18"/>
        </w:rPr>
        <w:t>, K</w:t>
      </w:r>
      <w:r w:rsidRPr="00243244">
        <w:rPr>
          <w:rFonts w:ascii="Arial" w:eastAsia="Calibri" w:hAnsi="Arial" w:cs="Arial"/>
          <w:sz w:val="18"/>
          <w:vertAlign w:val="subscript"/>
        </w:rPr>
        <w:t>2</w:t>
      </w:r>
      <w:r w:rsidRPr="00243244">
        <w:rPr>
          <w:rFonts w:ascii="Arial" w:eastAsia="Calibri" w:hAnsi="Arial" w:cs="Arial"/>
          <w:sz w:val="18"/>
        </w:rPr>
        <w:t>, K</w:t>
      </w:r>
      <w:r w:rsidRPr="00243244">
        <w:rPr>
          <w:rFonts w:ascii="Arial" w:eastAsia="Calibri" w:hAnsi="Arial" w:cs="Arial"/>
          <w:sz w:val="18"/>
          <w:vertAlign w:val="subscript"/>
        </w:rPr>
        <w:t>3</w:t>
      </w:r>
      <w:r w:rsidRPr="00243244">
        <w:rPr>
          <w:rFonts w:ascii="Arial" w:eastAsia="Calibri" w:hAnsi="Arial" w:cs="Arial"/>
          <w:sz w:val="18"/>
        </w:rPr>
        <w:t xml:space="preserve"> were calculated from the fitted parameters: K</w:t>
      </w:r>
      <w:r w:rsidRPr="00243244">
        <w:rPr>
          <w:rFonts w:ascii="Arial" w:eastAsia="Calibri" w:hAnsi="Arial" w:cs="Arial"/>
          <w:sz w:val="18"/>
          <w:vertAlign w:val="subscript"/>
        </w:rPr>
        <w:t>1</w:t>
      </w:r>
      <w:r w:rsidRPr="00243244">
        <w:rPr>
          <w:rFonts w:ascii="Arial" w:eastAsia="Calibri" w:hAnsi="Arial" w:cs="Arial"/>
          <w:sz w:val="18"/>
        </w:rPr>
        <w:t xml:space="preserve"> =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1</w:t>
      </w:r>
      <w:r w:rsidRPr="00243244">
        <w:rPr>
          <w:rFonts w:ascii="Arial" w:eastAsia="Calibri" w:hAnsi="Arial" w:cs="Arial"/>
          <w:sz w:val="18"/>
        </w:rPr>
        <w:t>/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-1</w:t>
      </w:r>
      <w:r w:rsidRPr="00243244">
        <w:rPr>
          <w:rFonts w:ascii="Arial" w:eastAsia="Calibri" w:hAnsi="Arial" w:cs="Arial"/>
          <w:sz w:val="18"/>
        </w:rPr>
        <w:t>, K</w:t>
      </w:r>
      <w:r w:rsidRPr="00243244">
        <w:rPr>
          <w:rFonts w:ascii="Arial" w:eastAsia="Calibri" w:hAnsi="Arial" w:cs="Arial"/>
          <w:sz w:val="18"/>
          <w:vertAlign w:val="subscript"/>
        </w:rPr>
        <w:t>2</w:t>
      </w:r>
      <w:r w:rsidRPr="00243244">
        <w:rPr>
          <w:rFonts w:ascii="Arial" w:eastAsia="Calibri" w:hAnsi="Arial" w:cs="Arial"/>
          <w:sz w:val="18"/>
        </w:rPr>
        <w:t xml:space="preserve"> =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2</w:t>
      </w:r>
      <w:r w:rsidRPr="00243244">
        <w:rPr>
          <w:rFonts w:ascii="Arial" w:eastAsia="Calibri" w:hAnsi="Arial" w:cs="Arial"/>
          <w:sz w:val="18"/>
        </w:rPr>
        <w:t>/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-2</w:t>
      </w:r>
      <w:r w:rsidRPr="00243244">
        <w:rPr>
          <w:rFonts w:ascii="Arial" w:eastAsia="Calibri" w:hAnsi="Arial" w:cs="Arial"/>
          <w:sz w:val="18"/>
        </w:rPr>
        <w:t>, K</w:t>
      </w:r>
      <w:r w:rsidRPr="00243244">
        <w:rPr>
          <w:rFonts w:ascii="Arial" w:eastAsia="Calibri" w:hAnsi="Arial" w:cs="Arial"/>
          <w:sz w:val="18"/>
          <w:vertAlign w:val="subscript"/>
        </w:rPr>
        <w:t>3</w:t>
      </w:r>
      <w:r w:rsidRPr="00243244">
        <w:rPr>
          <w:rFonts w:ascii="Arial" w:eastAsia="Calibri" w:hAnsi="Arial" w:cs="Arial"/>
          <w:sz w:val="18"/>
        </w:rPr>
        <w:t>=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3</w:t>
      </w:r>
      <w:r w:rsidRPr="00243244">
        <w:rPr>
          <w:rFonts w:ascii="Arial" w:eastAsia="Calibri" w:hAnsi="Arial" w:cs="Arial"/>
          <w:sz w:val="18"/>
        </w:rPr>
        <w:t>/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-3</w:t>
      </w:r>
      <w:r w:rsidRPr="00243244">
        <w:rPr>
          <w:rFonts w:ascii="Arial" w:eastAsia="Calibri" w:hAnsi="Arial" w:cs="Arial"/>
          <w:sz w:val="18"/>
        </w:rPr>
        <w:t>. The errors were calculated by propagation of errors from the errors in the fitted parameters.</w:t>
      </w:r>
    </w:p>
    <w:p w:rsidR="00753168" w:rsidRPr="00243244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noProof/>
          <w:color w:val="000000" w:themeColor="text1"/>
          <w:sz w:val="18"/>
        </w:rPr>
        <w:drawing>
          <wp:anchor distT="0" distB="0" distL="114300" distR="114300" simplePos="0" relativeHeight="251659264" behindDoc="0" locked="0" layoutInCell="1" allowOverlap="1" wp14:anchorId="1CE57A58" wp14:editId="2A93513F">
            <wp:simplePos x="0" y="0"/>
            <wp:positionH relativeFrom="column">
              <wp:posOffset>1371600</wp:posOffset>
            </wp:positionH>
            <wp:positionV relativeFrom="paragraph">
              <wp:posOffset>314960</wp:posOffset>
            </wp:positionV>
            <wp:extent cx="3476625" cy="535940"/>
            <wp:effectExtent l="0" t="0" r="3175" b="0"/>
            <wp:wrapTopAndBottom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3244">
        <w:rPr>
          <w:rFonts w:ascii="Arial" w:eastAsia="Calibri" w:hAnsi="Arial" w:cs="Arial"/>
          <w:sz w:val="18"/>
          <w:vertAlign w:val="superscript"/>
        </w:rPr>
        <w:t>e</w:t>
      </w:r>
      <w:r w:rsidRPr="00243244">
        <w:rPr>
          <w:rFonts w:ascii="Arial" w:eastAsia="Calibri" w:hAnsi="Arial" w:cs="Arial"/>
          <w:sz w:val="18"/>
        </w:rPr>
        <w:t xml:space="preserve"> The value for 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d</w:t>
      </w:r>
      <w:r w:rsidRPr="00243244">
        <w:rPr>
          <w:rFonts w:ascii="Arial" w:eastAsia="Calibri" w:hAnsi="Arial" w:cs="Arial"/>
          <w:sz w:val="18"/>
        </w:rPr>
        <w:t xml:space="preserve">, the dissociation rate for RPo, was calculated using equation (17) of </w:t>
      </w:r>
      <w:r w:rsidRPr="00243244">
        <w:rPr>
          <w:rFonts w:ascii="Arial" w:eastAsia="Calibri" w:hAnsi="Arial" w:cs="Arial"/>
          <w:sz w:val="18"/>
        </w:rPr>
        <w:fldChar w:fldCharType="begin"/>
      </w:r>
      <w:r>
        <w:rPr>
          <w:rFonts w:ascii="Arial" w:eastAsia="Calibri" w:hAnsi="Arial" w:cs="Arial"/>
          <w:sz w:val="18"/>
        </w:rPr>
        <w:instrText xml:space="preserve"> ADDIN PAPERS2_CITATIONS &lt;citation&gt;&lt;uuid&gt;CBF45FE3-6DB2-46ED-93A5-6AC8AB8DC159&lt;/uuid&gt;&lt;priority&gt;0&lt;/priority&gt;&lt;publications&gt;&lt;publication&gt;&lt;uuid&gt;B0764A1E-8ABC-4E52-806D-FF69A0DF0E22&lt;/uuid&gt;&lt;volume&gt;76&lt;/volume&gt;&lt;doi&gt;10.1016/S0006-3495(99)77294-2&lt;/doi&gt;&lt;startpage&gt;1320&lt;/startpage&gt;&lt;publication_date&gt;99199903001200000000220000&lt;/publication_date&gt;&lt;url&gt;http://eutils.ncbi.nlm.nih.gov/entrez/eutils/elink.fcgi?dbfrom=pubmed&amp;amp;id=10049315&amp;amp;retmode=ref&amp;amp;cmd=prlinks&lt;/url&gt;&lt;type&gt;400&lt;/type&gt;&lt;title&gt;General method of analysis of kinetic equations for multistep reversible mechanisms in the single-exponential regime: application to kinetics of open complex formation between Esigma70 RNA polymerase and lambdaP(R) promoter DNA.&lt;/title&gt;&lt;institution&gt;Biophysics Program, University of Wisconsin, Madison, Wisconsin 53706, USA.&lt;/institution&gt;&lt;number&gt;3&lt;/number&gt;&lt;subtype&gt;400&lt;/subtype&gt;&lt;endpage&gt;1329&lt;/endpage&gt;&lt;bundle&gt;&lt;publication&gt;&lt;publisher&gt;Elsevier&lt;/publisher&gt;&lt;title&gt;Biophysical Journal&lt;/title&gt;&lt;type&gt;-100&lt;/type&gt;&lt;subtype&gt;-100&lt;/subtype&gt;&lt;uuid&gt;8FC185A2-DA8C-4E30-9FAB-FF60488AEA67&lt;/uuid&gt;&lt;/publication&gt;&lt;/bundle&gt;&lt;authors&gt;&lt;author&gt;&lt;firstName&gt;Oleg&lt;/firstName&gt;&lt;middleNames&gt;V&lt;/middleNames&gt;&lt;lastName&gt;Tsodikov&lt;/lastName&gt;&lt;/author&gt;&lt;author&gt;&lt;lastName&gt;Record&lt;/lastName&gt;&lt;firstName&gt;M&lt;/firstName&gt;&lt;middleNames&gt;Thomas&lt;/middleNames&gt;&lt;suffix&gt;Jr&lt;/suffix&gt;&lt;/author&gt;&lt;/authors&gt;&lt;/publication&gt;&lt;/publications&gt;&lt;cites&gt;&lt;/cites&gt;&lt;/citation&gt;</w:instrText>
      </w:r>
      <w:r w:rsidRPr="00243244">
        <w:rPr>
          <w:rFonts w:ascii="Arial" w:eastAsia="Calibri" w:hAnsi="Arial" w:cs="Arial"/>
          <w:sz w:val="18"/>
        </w:rPr>
        <w:fldChar w:fldCharType="separate"/>
      </w:r>
      <w:r w:rsidRPr="00243244">
        <w:rPr>
          <w:rFonts w:ascii="Arial" w:hAnsi="Arial" w:cs="Arial"/>
          <w:sz w:val="18"/>
          <w:lang w:eastAsia="ja-JP"/>
        </w:rPr>
        <w:t>(Tsodikov and Record, 1999)</w:t>
      </w:r>
      <w:r w:rsidRPr="00243244">
        <w:rPr>
          <w:rFonts w:ascii="Arial" w:eastAsia="Calibri" w:hAnsi="Arial" w:cs="Arial"/>
          <w:sz w:val="18"/>
        </w:rPr>
        <w:fldChar w:fldCharType="end"/>
      </w:r>
      <w:r w:rsidRPr="00243244">
        <w:rPr>
          <w:rFonts w:ascii="Arial" w:eastAsia="Calibri" w:hAnsi="Arial" w:cs="Arial"/>
          <w:sz w:val="18"/>
        </w:rPr>
        <w:t>:</w:t>
      </w:r>
    </w:p>
    <w:p w:rsidR="00753168" w:rsidRPr="00243244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sz w:val="18"/>
        </w:rPr>
        <w:t>The errors were calculated by propagation of errors. The value for t</w:t>
      </w:r>
      <w:r w:rsidRPr="00243244">
        <w:rPr>
          <w:rFonts w:ascii="Arial" w:eastAsia="Calibri" w:hAnsi="Arial" w:cs="Arial"/>
          <w:sz w:val="18"/>
          <w:vertAlign w:val="subscript"/>
        </w:rPr>
        <w:t>1/2</w:t>
      </w:r>
      <w:r w:rsidRPr="00243244">
        <w:rPr>
          <w:rFonts w:ascii="Arial" w:eastAsia="Calibri" w:hAnsi="Arial" w:cs="Arial"/>
          <w:sz w:val="18"/>
        </w:rPr>
        <w:t xml:space="preserve"> was calculated as t</w:t>
      </w:r>
      <w:r w:rsidRPr="00243244">
        <w:rPr>
          <w:rFonts w:ascii="Arial" w:eastAsia="Calibri" w:hAnsi="Arial" w:cs="Arial"/>
          <w:sz w:val="18"/>
          <w:vertAlign w:val="subscript"/>
        </w:rPr>
        <w:t>1/2</w:t>
      </w:r>
      <w:r w:rsidRPr="00243244">
        <w:rPr>
          <w:rFonts w:ascii="Arial" w:eastAsia="Calibri" w:hAnsi="Arial" w:cs="Arial"/>
          <w:sz w:val="18"/>
        </w:rPr>
        <w:t xml:space="preserve"> = ln(2)/</w:t>
      </w:r>
      <w:r w:rsidRPr="00243244">
        <w:rPr>
          <w:rFonts w:ascii="Arial" w:eastAsia="Calibri" w:hAnsi="Arial" w:cs="Arial"/>
          <w:i/>
          <w:sz w:val="18"/>
        </w:rPr>
        <w:t>k</w:t>
      </w:r>
      <w:r w:rsidRPr="00243244">
        <w:rPr>
          <w:rFonts w:ascii="Arial" w:eastAsia="Calibri" w:hAnsi="Arial" w:cs="Arial"/>
          <w:sz w:val="18"/>
          <w:vertAlign w:val="subscript"/>
        </w:rPr>
        <w:t>d</w:t>
      </w:r>
      <w:r w:rsidRPr="00243244">
        <w:rPr>
          <w:rFonts w:ascii="Arial" w:eastAsia="Calibri" w:hAnsi="Arial" w:cs="Arial"/>
          <w:sz w:val="18"/>
        </w:rPr>
        <w:t xml:space="preserve"> (errors calculated by propagation of errors).</w:t>
      </w:r>
    </w:p>
    <w:p w:rsidR="00753168" w:rsidRPr="00243244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sz w:val="18"/>
          <w:vertAlign w:val="superscript"/>
        </w:rPr>
        <w:t>f</w:t>
      </w:r>
      <w:r w:rsidRPr="00243244">
        <w:rPr>
          <w:rFonts w:ascii="Arial" w:eastAsia="Calibri" w:hAnsi="Arial" w:cs="Arial"/>
          <w:sz w:val="18"/>
        </w:rPr>
        <w:t xml:space="preserve"> The experimental half-life (t</w:t>
      </w:r>
      <w:r w:rsidRPr="00243244">
        <w:rPr>
          <w:rFonts w:ascii="Arial" w:eastAsia="Calibri" w:hAnsi="Arial" w:cs="Arial"/>
          <w:sz w:val="18"/>
          <w:vertAlign w:val="subscript"/>
        </w:rPr>
        <w:t>1/2</w:t>
      </w:r>
      <w:r w:rsidRPr="00243244">
        <w:rPr>
          <w:rFonts w:ascii="Arial" w:eastAsia="Calibri" w:hAnsi="Arial" w:cs="Arial"/>
          <w:sz w:val="18"/>
          <w:vertAlign w:val="superscript"/>
        </w:rPr>
        <w:t>exp</w:t>
      </w:r>
      <w:r w:rsidRPr="00243244">
        <w:rPr>
          <w:rFonts w:ascii="Arial" w:eastAsia="Calibri" w:hAnsi="Arial" w:cs="Arial"/>
          <w:sz w:val="18"/>
        </w:rPr>
        <w:t>) was determined from promoter lifetime experiments (Figure 2C).</w:t>
      </w:r>
    </w:p>
    <w:p w:rsidR="00753168" w:rsidRPr="00243244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sz w:val="18"/>
          <w:vertAlign w:val="superscript"/>
        </w:rPr>
        <w:t>g</w:t>
      </w:r>
      <w:r w:rsidRPr="00243244">
        <w:rPr>
          <w:rFonts w:ascii="Arial" w:eastAsia="Calibri" w:hAnsi="Arial" w:cs="Arial"/>
          <w:sz w:val="18"/>
        </w:rPr>
        <w:t xml:space="preserve"> The standard deviation (</w:t>
      </w:r>
      <w:r>
        <w:rPr>
          <w:rFonts w:ascii="Symbol" w:eastAsia="Calibri" w:hAnsi="Symbol" w:cs="Arial"/>
          <w:sz w:val="18"/>
        </w:rPr>
        <w:t></w:t>
      </w:r>
      <w:r w:rsidRPr="00243244">
        <w:rPr>
          <w:rFonts w:ascii="Arial" w:eastAsia="Calibri" w:hAnsi="Arial" w:cs="Arial"/>
          <w:sz w:val="18"/>
          <w:vertAlign w:val="subscript"/>
        </w:rPr>
        <w:t>x</w:t>
      </w:r>
      <w:r w:rsidRPr="00243244">
        <w:rPr>
          <w:rFonts w:ascii="Arial" w:eastAsia="Calibri" w:hAnsi="Arial" w:cs="Arial"/>
          <w:sz w:val="18"/>
        </w:rPr>
        <w:t>) as a % of the mean value of a fitted parameter (&lt;x&gt;) was calculated as follows:</w:t>
      </w:r>
    </w:p>
    <w:p w:rsidR="00753168" w:rsidRDefault="00753168" w:rsidP="00753168">
      <w:pPr>
        <w:spacing w:before="120"/>
        <w:jc w:val="both"/>
        <w:rPr>
          <w:rFonts w:ascii="Arial" w:eastAsia="Calibri" w:hAnsi="Arial" w:cs="Arial"/>
          <w:sz w:val="18"/>
        </w:rPr>
      </w:pPr>
      <w:r w:rsidRPr="00243244">
        <w:rPr>
          <w:rFonts w:ascii="Arial" w:eastAsia="Calibri" w:hAnsi="Arial" w:cs="Arial"/>
          <w:sz w:val="18"/>
        </w:rPr>
        <w:tab/>
        <w:t>% std. dev. = 100(</w:t>
      </w:r>
      <w:r w:rsidRPr="00437169">
        <w:rPr>
          <w:rFonts w:ascii="Symbol" w:eastAsia="Calibri" w:hAnsi="Symbol" w:cs="Arial"/>
          <w:sz w:val="18"/>
        </w:rPr>
        <w:t></w:t>
      </w:r>
      <w:r w:rsidRPr="00243244">
        <w:rPr>
          <w:rFonts w:ascii="Arial" w:eastAsia="Calibri" w:hAnsi="Arial" w:cs="Arial"/>
          <w:sz w:val="18"/>
          <w:vertAlign w:val="subscript"/>
        </w:rPr>
        <w:t>x</w:t>
      </w:r>
      <w:r w:rsidRPr="00243244">
        <w:rPr>
          <w:rFonts w:ascii="Arial" w:eastAsia="Calibri" w:hAnsi="Arial" w:cs="Arial"/>
          <w:sz w:val="18"/>
        </w:rPr>
        <w:t>/&lt;x&gt;)</w:t>
      </w:r>
    </w:p>
    <w:p w:rsidR="00753168" w:rsidRPr="00753168" w:rsidRDefault="00753168" w:rsidP="00753168">
      <w:pPr>
        <w:spacing w:before="120"/>
        <w:jc w:val="both"/>
        <w:rPr>
          <w:rFonts w:ascii="Arial" w:eastAsia="Calibri" w:hAnsi="Arial" w:cs="Arial" w:hint="eastAsia"/>
          <w:sz w:val="18"/>
        </w:rPr>
        <w:sectPr w:rsidR="00753168" w:rsidRPr="00753168" w:rsidSect="005137D9">
          <w:pgSz w:w="12240" w:h="15840"/>
          <w:pgMar w:top="1440" w:right="225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997DE7" w:rsidRDefault="00997DE7"/>
    <w:sectPr w:rsidR="00997DE7" w:rsidSect="007F59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68"/>
    <w:rsid w:val="00145824"/>
    <w:rsid w:val="00246904"/>
    <w:rsid w:val="003A4759"/>
    <w:rsid w:val="00753168"/>
    <w:rsid w:val="007F59CD"/>
    <w:rsid w:val="00997DE7"/>
    <w:rsid w:val="00A94589"/>
    <w:rsid w:val="00C1278A"/>
    <w:rsid w:val="00E37B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6C1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168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753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168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753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924</Words>
  <Characters>5270</Characters>
  <Application>Microsoft Macintosh Word</Application>
  <DocSecurity>0</DocSecurity>
  <Lines>43</Lines>
  <Paragraphs>12</Paragraphs>
  <ScaleCrop>false</ScaleCrop>
  <Company>The Rockefeller University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Darst</dc:creator>
  <cp:keywords/>
  <dc:description/>
  <cp:lastModifiedBy>Seth Darst</cp:lastModifiedBy>
  <cp:revision>1</cp:revision>
  <dcterms:created xsi:type="dcterms:W3CDTF">2016-12-21T13:04:00Z</dcterms:created>
  <dcterms:modified xsi:type="dcterms:W3CDTF">2016-12-21T13:05:00Z</dcterms:modified>
</cp:coreProperties>
</file>