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469" w:tblpY="1441"/>
        <w:tblW w:w="11533" w:type="dxa"/>
        <w:tblLayout w:type="fixed"/>
        <w:tblLook w:val="04A0" w:firstRow="1" w:lastRow="0" w:firstColumn="1" w:lastColumn="0" w:noHBand="0" w:noVBand="1"/>
      </w:tblPr>
      <w:tblGrid>
        <w:gridCol w:w="3600"/>
        <w:gridCol w:w="1080"/>
        <w:gridCol w:w="270"/>
        <w:gridCol w:w="900"/>
        <w:gridCol w:w="1170"/>
        <w:gridCol w:w="270"/>
        <w:gridCol w:w="1080"/>
        <w:gridCol w:w="1620"/>
        <w:gridCol w:w="1543"/>
      </w:tblGrid>
      <w:tr w:rsidR="00B82010" w:rsidRPr="004B3A93" w:rsidTr="00B82010">
        <w:trPr>
          <w:trHeight w:val="32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0000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0000"/>
              </w:rPr>
              <w:t>Property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FFFFFF"/>
              </w:rPr>
              <w:t>Ctrl Mean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FFFFFF"/>
              </w:rPr>
              <w:t>Ctrl SEM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0000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FFFFFF"/>
              </w:rPr>
              <w:t>DTA Mean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0000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FFFFFF"/>
              </w:rPr>
              <w:t>DTA SEM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0000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proofErr w:type="gramStart"/>
            <w:r w:rsidRPr="002124A0">
              <w:rPr>
                <w:rFonts w:ascii="Myriad Pro" w:eastAsia="Times New Roman" w:hAnsi="Myriad Pro" w:cs="Times New Roman"/>
                <w:b/>
                <w:bCs/>
                <w:color w:val="FFFFFF"/>
              </w:rPr>
              <w:t>p</w:t>
            </w:r>
            <w:proofErr w:type="gramEnd"/>
            <w:r w:rsidRPr="002124A0">
              <w:rPr>
                <w:rFonts w:ascii="Myriad Pro" w:eastAsia="Times New Roman" w:hAnsi="Myriad Pro" w:cs="Times New Roman"/>
                <w:b/>
                <w:bCs/>
                <w:color w:val="FFFFFF"/>
              </w:rPr>
              <w:t xml:space="preserve"> value</w:t>
            </w:r>
          </w:p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b/>
                <w:bCs/>
                <w:color w:val="FFFFFF"/>
              </w:rPr>
            </w:pPr>
            <w:r>
              <w:rPr>
                <w:rFonts w:ascii="Myriad Pro" w:eastAsia="Times New Roman" w:hAnsi="Myriad Pro" w:cs="Times New Roman"/>
                <w:b/>
                <w:bCs/>
                <w:color w:val="FFFFFF"/>
              </w:rPr>
              <w:t>Holm-</w:t>
            </w:r>
            <w:proofErr w:type="spellStart"/>
            <w:r>
              <w:rPr>
                <w:rFonts w:ascii="Myriad Pro" w:eastAsia="Times New Roman" w:hAnsi="Myriad Pro" w:cs="Times New Roman"/>
                <w:b/>
                <w:bCs/>
                <w:color w:val="FFFFFF"/>
              </w:rPr>
              <w:t>Bonferroni</w:t>
            </w:r>
            <w:proofErr w:type="spellEnd"/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*  Number of Spikes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>
              <w:rPr>
                <w:rFonts w:ascii="Myriad Pro" w:eastAsia="Times New Roman" w:hAnsi="Myriad Pro" w:cs="Times New Roman"/>
                <w:color w:val="9C6500"/>
              </w:rPr>
              <w:t>833.291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43.442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1936.755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134.387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Firing Rate Outside All Bursts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2.584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0.315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4.429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4.429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0.042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0.005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Firing Rate Outside WABs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6.647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0.805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9.141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1.345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0.112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0.007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ISI Outside All Bursts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73.485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5.588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52.454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6.399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0.014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0.004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ISI Outside WABs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51.017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5.198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38.279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4.762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0.071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0.006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*  Percent of Spikes Outside All Bursts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6.802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0.866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16.082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1.979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Percent of Spikes Outside WABs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13.095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1.333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19.926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2.070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0.004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Burst Frequency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1.025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1.016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0.040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0.849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0.025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 xml:space="preserve">*  </w:t>
            </w: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Interburst</w:t>
            </w:r>
            <w:proofErr w:type="spellEnd"/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 xml:space="preserve"> Interval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60.472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1.619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52.265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2.085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6500"/>
              </w:rPr>
              <w:t>Percent of Bursts That Are WABs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89.284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1.149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90.945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4B3A93">
              <w:rPr>
                <w:rFonts w:ascii="Myriad Pro" w:eastAsia="Times New Roman" w:hAnsi="Myriad Pro" w:cs="Times New Roman"/>
                <w:color w:val="9C65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1.101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0.297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B9C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6500"/>
              </w:rPr>
            </w:pPr>
            <w:r w:rsidRPr="002124A0">
              <w:rPr>
                <w:rFonts w:ascii="Myriad Pro" w:eastAsia="Times New Roman" w:hAnsi="Myriad Pro" w:cs="Times New Roman"/>
                <w:color w:val="9C6500"/>
              </w:rPr>
              <w:t>0.010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Number of WABs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9.313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0.187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9.924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0.266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0.061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0.005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*  WAB Duration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3.376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0.062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3.907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0.078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*  WAB Firing Rate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20.871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0.851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41.741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2.223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0.002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*  WAB ISI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*  Percent WAB Time &gt;10 Hz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46.976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1.396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57.992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1.604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006100"/>
              </w:rPr>
              <w:t>*  Spikes Per WAB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79.753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4.049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184.171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4B3A93">
              <w:rPr>
                <w:rFonts w:ascii="Myriad Pro" w:eastAsia="Times New Roman" w:hAnsi="Myriad Pro" w:cs="Times New Roman"/>
                <w:color w:val="006100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10.832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>
              <w:rPr>
                <w:rFonts w:ascii="Myriad Pro" w:eastAsia="Times New Roman" w:hAnsi="Myriad Pro" w:cs="Times New Roman"/>
                <w:color w:val="006100"/>
              </w:rPr>
              <w:t>0.000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EFCE"/>
            <w:vAlign w:val="bottom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006100"/>
              </w:rPr>
            </w:pPr>
            <w:r w:rsidRPr="002124A0">
              <w:rPr>
                <w:rFonts w:ascii="Myriad Pro" w:eastAsia="Times New Roman" w:hAnsi="Myriad Pro" w:cs="Times New Roman"/>
                <w:color w:val="006100"/>
              </w:rPr>
              <w:t>0.002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Number of </w:t>
            </w: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NonWABs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3.109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0.390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4.071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0.723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0.244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0.008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</w:t>
            </w:r>
            <w:proofErr w:type="spellEnd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 Duration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2.270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0.091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2.135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0.133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0.402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0.013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</w:t>
            </w:r>
            <w:bookmarkStart w:id="0" w:name="_GoBack"/>
            <w:bookmarkEnd w:id="0"/>
            <w:proofErr w:type="spellEnd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 Firing Rate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11.896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0.898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17.048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2.206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0.033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0.004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</w:t>
            </w:r>
            <w:proofErr w:type="spellEnd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 ISI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0.133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0.008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0.130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0.010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0.752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0.017</w:t>
            </w:r>
          </w:p>
        </w:tc>
      </w:tr>
      <w:tr w:rsidR="00B82010" w:rsidRPr="004B3A93" w:rsidTr="00B82010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Percent </w:t>
            </w: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</w:t>
            </w:r>
            <w:proofErr w:type="spellEnd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 Time &gt;10 Hz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28.478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2.380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28.552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3.057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0.985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0.050</w:t>
            </w:r>
          </w:p>
        </w:tc>
      </w:tr>
      <w:tr w:rsidR="00B82010" w:rsidRPr="004B3A93" w:rsidTr="00B82010">
        <w:trPr>
          <w:trHeight w:val="32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rPr>
                <w:rFonts w:ascii="Myriad Pro" w:eastAsia="Times New Roman" w:hAnsi="Myriad Pro" w:cs="Times New Roman"/>
                <w:b/>
                <w:bCs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 xml:space="preserve">Spikes Per </w:t>
            </w:r>
            <w:proofErr w:type="spellStart"/>
            <w:r w:rsidRPr="004B3A93">
              <w:rPr>
                <w:rFonts w:ascii="Myriad Pro" w:eastAsia="Times New Roman" w:hAnsi="Myriad Pro" w:cs="Times New Roman"/>
                <w:b/>
                <w:bCs/>
                <w:color w:val="9C0006"/>
              </w:rPr>
              <w:t>NonWAB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30.641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3.233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45.760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center"/>
            <w:hideMark/>
          </w:tcPr>
          <w:p w:rsidR="00B82010" w:rsidRPr="004B3A93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4B3A93">
              <w:rPr>
                <w:rFonts w:ascii="Myriad Pro" w:eastAsia="Times New Roman" w:hAnsi="Myriad Pro" w:cs="Times New Roman"/>
                <w:color w:val="9C0006"/>
              </w:rPr>
              <w:t>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7.748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vAlign w:val="center"/>
          </w:tcPr>
          <w:p w:rsidR="00B8201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>
              <w:rPr>
                <w:rFonts w:ascii="Myriad Pro" w:eastAsia="Times New Roman" w:hAnsi="Myriad Pro" w:cs="Times New Roman"/>
                <w:color w:val="9C0006"/>
              </w:rPr>
              <w:t>0.074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vAlign w:val="center"/>
          </w:tcPr>
          <w:p w:rsidR="00B82010" w:rsidRPr="002124A0" w:rsidRDefault="00B82010" w:rsidP="00B82010">
            <w:pPr>
              <w:jc w:val="center"/>
              <w:rPr>
                <w:rFonts w:ascii="Myriad Pro" w:eastAsia="Times New Roman" w:hAnsi="Myriad Pro" w:cs="Times New Roman"/>
                <w:color w:val="9C0006"/>
              </w:rPr>
            </w:pPr>
            <w:r w:rsidRPr="002124A0">
              <w:rPr>
                <w:rFonts w:ascii="Myriad Pro" w:eastAsia="Times New Roman" w:hAnsi="Myriad Pro" w:cs="Times New Roman"/>
                <w:color w:val="9C0006"/>
              </w:rPr>
              <w:t>0.006</w:t>
            </w:r>
          </w:p>
        </w:tc>
      </w:tr>
    </w:tbl>
    <w:p w:rsidR="00884378" w:rsidRDefault="00B8201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4C7745" wp14:editId="16885C53">
                <wp:simplePos x="0" y="0"/>
                <wp:positionH relativeFrom="column">
                  <wp:posOffset>5715000</wp:posOffset>
                </wp:positionH>
                <wp:positionV relativeFrom="paragraph">
                  <wp:posOffset>5715000</wp:posOffset>
                </wp:positionV>
                <wp:extent cx="10287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6F2" w:rsidRDefault="001676F2" w:rsidP="001676F2">
                            <w:r>
                              <w:t xml:space="preserve">= </w:t>
                            </w:r>
                            <w:proofErr w:type="gramStart"/>
                            <w:r>
                              <w:t>non</w:t>
                            </w:r>
                            <w:proofErr w:type="gramEnd"/>
                            <w:r>
                              <w:t>-WAB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450pt;margin-top:450pt;width:81pt;height:2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TJIdACAAAVBgAADgAAAGRycy9lMm9Eb2MueG1srFRNb9swDL0P2H8QdE9tZ27aGHUKN0WGAUVb&#10;rB16VmQpMaavSUribNh/HyXbadrtsA672BRJUeTjIy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" filled="f" stroked="f">
                <v:textbox>
                  <w:txbxContent>
                    <w:p w:rsidR="001676F2" w:rsidRDefault="001676F2" w:rsidP="001676F2">
                      <w:r>
                        <w:t xml:space="preserve">= </w:t>
                      </w:r>
                      <w:proofErr w:type="gramStart"/>
                      <w:r>
                        <w:t>non</w:t>
                      </w:r>
                      <w:proofErr w:type="gramEnd"/>
                      <w:r>
                        <w:t>-WAB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39FF4" wp14:editId="4B4BF62F">
                <wp:simplePos x="0" y="0"/>
                <wp:positionH relativeFrom="column">
                  <wp:posOffset>4572000</wp:posOffset>
                </wp:positionH>
                <wp:positionV relativeFrom="paragraph">
                  <wp:posOffset>5715000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67" y="22400"/>
                    <wp:lineTo x="21867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EB8C3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in;margin-top:450pt;width:81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" fillcolor="#feb8c3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48826" wp14:editId="2F97EE53">
                <wp:simplePos x="0" y="0"/>
                <wp:positionH relativeFrom="column">
                  <wp:posOffset>1143000</wp:posOffset>
                </wp:positionH>
                <wp:positionV relativeFrom="paragraph">
                  <wp:posOffset>5715000</wp:posOffset>
                </wp:positionV>
                <wp:extent cx="17145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6F2" w:rsidRDefault="001676F2">
                            <w:r>
                              <w:t>= Entire Recording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90pt;margin-top:450pt;width:135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jans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" filled="f" stroked="f">
                <v:textbox>
                  <w:txbxContent>
                    <w:p w:rsidR="001676F2" w:rsidRDefault="001676F2">
                      <w:r>
                        <w:t>= Entire Recording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A6A02" wp14:editId="1C81A57F">
                <wp:simplePos x="0" y="0"/>
                <wp:positionH relativeFrom="column">
                  <wp:posOffset>114300</wp:posOffset>
                </wp:positionH>
                <wp:positionV relativeFrom="paragraph">
                  <wp:posOffset>5715000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67" y="22400"/>
                    <wp:lineTo x="2186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EE88A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9pt;margin-top:450pt;width:81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" fillcolor="#fee88a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9C266" wp14:editId="421380A5">
                <wp:simplePos x="0" y="0"/>
                <wp:positionH relativeFrom="column">
                  <wp:posOffset>2743200</wp:posOffset>
                </wp:positionH>
                <wp:positionV relativeFrom="paragraph">
                  <wp:posOffset>5715000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67" y="22400"/>
                    <wp:lineTo x="2186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BBEDC3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in;margin-top:450pt;width:81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" fillcolor="#bbedc3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62A9C" wp14:editId="3F6D8906">
                <wp:simplePos x="0" y="0"/>
                <wp:positionH relativeFrom="column">
                  <wp:posOffset>3771900</wp:posOffset>
                </wp:positionH>
                <wp:positionV relativeFrom="paragraph">
                  <wp:posOffset>5715000</wp:posOffset>
                </wp:positionV>
                <wp:extent cx="1600200" cy="342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6F2" w:rsidRDefault="001676F2" w:rsidP="001676F2">
                            <w:r>
                              <w:t>= WAB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margin-left:297pt;margin-top:450pt;width:126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aKJ88CAAAV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" filled="f" stroked="f">
                <v:textbox>
                  <w:txbxContent>
                    <w:p w:rsidR="001676F2" w:rsidRDefault="001676F2" w:rsidP="001676F2">
                      <w:r>
                        <w:t>= WAB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BCCC93" wp14:editId="44011F2F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6F2" w:rsidRPr="00B82010" w:rsidRDefault="001676F2">
                            <w:pPr>
                              <w:rPr>
                                <w:rFonts w:ascii="Helvetica" w:hAnsi="Helvetica"/>
                                <w:sz w:val="28"/>
                                <w:szCs w:val="28"/>
                              </w:rPr>
                            </w:pPr>
                            <w:r w:rsidRPr="00B82010">
                              <w:rPr>
                                <w:rFonts w:ascii="Helvetica" w:hAnsi="Helvetica"/>
                                <w:sz w:val="28"/>
                                <w:szCs w:val="28"/>
                              </w:rPr>
                              <w:t>Supplemental File 2</w:t>
                            </w:r>
                            <w:r w:rsidR="00B82010" w:rsidRPr="00B82010">
                              <w:rPr>
                                <w:rFonts w:ascii="Helvetica" w:hAnsi="Helvetica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B82010" w:rsidRPr="00B82010">
                              <w:rPr>
                                <w:rFonts w:ascii="Helvetica" w:hAnsi="Helvetica"/>
                                <w:sz w:val="28"/>
                                <w:szCs w:val="28"/>
                              </w:rPr>
                              <w:t>Values and statistics for retinal wave recordings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8.95pt;margin-top:0;width:48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jWu9ECAAAV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" filled="f" stroked="f">
                <v:textbox>
                  <w:txbxContent>
                    <w:p w:rsidR="001676F2" w:rsidRPr="00B82010" w:rsidRDefault="001676F2">
                      <w:pPr>
                        <w:rPr>
                          <w:rFonts w:ascii="Helvetica" w:hAnsi="Helvetica"/>
                          <w:sz w:val="28"/>
                          <w:szCs w:val="28"/>
                        </w:rPr>
                      </w:pPr>
                      <w:r w:rsidRPr="00B82010">
                        <w:rPr>
                          <w:rFonts w:ascii="Helvetica" w:hAnsi="Helvetica"/>
                          <w:sz w:val="28"/>
                          <w:szCs w:val="28"/>
                        </w:rPr>
                        <w:t>Supplemental File 2</w:t>
                      </w:r>
                      <w:r w:rsidR="00B82010" w:rsidRPr="00B82010">
                        <w:rPr>
                          <w:rFonts w:ascii="Helvetica" w:hAnsi="Helvetica"/>
                          <w:sz w:val="28"/>
                          <w:szCs w:val="28"/>
                        </w:rPr>
                        <w:t xml:space="preserve">: </w:t>
                      </w:r>
                      <w:r w:rsidR="00B82010" w:rsidRPr="00B82010">
                        <w:rPr>
                          <w:rFonts w:ascii="Helvetica" w:hAnsi="Helvetica"/>
                          <w:sz w:val="28"/>
                          <w:szCs w:val="28"/>
                        </w:rPr>
                        <w:t>Values and statistics for retinal wave recordings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t xml:space="preserve"> </w:t>
      </w:r>
    </w:p>
    <w:sectPr w:rsidR="00884378" w:rsidSect="00B82010">
      <w:pgSz w:w="12240" w:h="15840"/>
      <w:pgMar w:top="720" w:right="36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93"/>
    <w:rsid w:val="001676F2"/>
    <w:rsid w:val="002124A0"/>
    <w:rsid w:val="004B3A93"/>
    <w:rsid w:val="006A705B"/>
    <w:rsid w:val="00884378"/>
    <w:rsid w:val="00B8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7FF6FE-3DB0-D045-A80A-F01EAB71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1269</Characters>
  <Application>Microsoft Macintosh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Chew</dc:creator>
  <cp:keywords/>
  <dc:description/>
  <cp:lastModifiedBy>Kylie Chew</cp:lastModifiedBy>
  <cp:revision>2</cp:revision>
  <cp:lastPrinted>2017-03-19T20:12:00Z</cp:lastPrinted>
  <dcterms:created xsi:type="dcterms:W3CDTF">2017-04-07T17:46:00Z</dcterms:created>
  <dcterms:modified xsi:type="dcterms:W3CDTF">2017-04-07T17:46:00Z</dcterms:modified>
</cp:coreProperties>
</file>