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55"/>
        <w:gridCol w:w="1260"/>
        <w:gridCol w:w="1260"/>
        <w:gridCol w:w="1170"/>
        <w:gridCol w:w="1155"/>
      </w:tblGrid>
      <w:tr w:rsidR="006F6A68" w:rsidRPr="00D95C39" w:rsidTr="00C3176B">
        <w:trPr>
          <w:trHeight w:val="300"/>
        </w:trPr>
        <w:tc>
          <w:tcPr>
            <w:tcW w:w="90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color w:val="000000"/>
              </w:rPr>
              <w:t xml:space="preserve">Table 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5 – </w:t>
            </w:r>
            <w:r w:rsidRPr="00D95C39">
              <w:rPr>
                <w:rFonts w:ascii="Arial" w:eastAsia="Times New Roman" w:hAnsi="Arial" w:cs="Arial"/>
                <w:b/>
                <w:color w:val="000000"/>
              </w:rPr>
              <w:t>s</w:t>
            </w:r>
            <w:r>
              <w:rPr>
                <w:rFonts w:ascii="Arial" w:eastAsia="Times New Roman" w:hAnsi="Arial" w:cs="Arial"/>
                <w:b/>
                <w:color w:val="000000"/>
              </w:rPr>
              <w:t>ource data 1</w:t>
            </w:r>
            <w:r w:rsidRPr="00D95C39">
              <w:rPr>
                <w:rFonts w:ascii="Arial" w:eastAsia="Times New Roman" w:hAnsi="Arial" w:cs="Arial"/>
                <w:b/>
                <w:color w:val="000000"/>
              </w:rPr>
              <w:t>.</w:t>
            </w:r>
            <w:r w:rsidRPr="00D95C39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D95C39">
              <w:rPr>
                <w:rFonts w:ascii="Arial" w:eastAsia="Times New Roman" w:hAnsi="Arial" w:cs="Arial"/>
                <w:color w:val="000000"/>
              </w:rPr>
              <w:t>Correlation between fatty acids (FA) and fALOD4 binding.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bCs/>
                <w:color w:val="000000"/>
              </w:rPr>
              <w:t>FA (</w:t>
            </w:r>
            <w:proofErr w:type="spellStart"/>
            <w:r w:rsidRPr="00D95C39">
              <w:rPr>
                <w:rFonts w:ascii="Arial" w:eastAsia="Times New Roman" w:hAnsi="Arial" w:cs="Arial"/>
                <w:b/>
                <w:bCs/>
                <w:color w:val="000000"/>
              </w:rPr>
              <w:t>ug</w:t>
            </w:r>
            <w:proofErr w:type="spellEnd"/>
            <w:r w:rsidRPr="00D95C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FA/</w:t>
            </w:r>
            <w:proofErr w:type="spellStart"/>
            <w:r w:rsidRPr="00D95C39">
              <w:rPr>
                <w:rFonts w:ascii="Arial" w:eastAsia="Times New Roman" w:hAnsi="Arial" w:cs="Arial"/>
                <w:b/>
                <w:bCs/>
                <w:color w:val="000000"/>
              </w:rPr>
              <w:t>ug</w:t>
            </w:r>
            <w:proofErr w:type="spellEnd"/>
            <w:r w:rsidRPr="00D95C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protein)</w:t>
            </w:r>
          </w:p>
          <w:p w:rsidR="006F6A68" w:rsidRPr="00D95C39" w:rsidRDefault="006F6A68" w:rsidP="00C3176B">
            <w:pPr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color w:val="000000"/>
              </w:rPr>
              <w:t>Spearman’s rho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color w:val="000000"/>
              </w:rPr>
              <w:t>P-value (Spearman)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color w:val="000000"/>
              </w:rPr>
              <w:t>Partial r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D95C39">
              <w:rPr>
                <w:rFonts w:ascii="Arial" w:eastAsia="Times New Roman" w:hAnsi="Arial" w:cs="Arial"/>
                <w:b/>
                <w:color w:val="000000"/>
              </w:rPr>
              <w:t>P-value (linear regression)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C16: 0 (Palmitic)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0.59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0.50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C18:0 (Stearic)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0.75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C18:1n9c (Oleic)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0.42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C18:2n6c (Linoleic)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0.85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C20:3n6 (cis-8,11,14-Eicosatrienoic)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0.72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C20:4n6 (Arachidonic)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0.63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C20:5n3 (cis-5,8,11,14,17-Eicosapentaenoic)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0.70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C24:1n9 (</w:t>
            </w:r>
            <w:proofErr w:type="spellStart"/>
            <w:r w:rsidRPr="00D95C39">
              <w:rPr>
                <w:rFonts w:ascii="Arial" w:eastAsia="Times New Roman" w:hAnsi="Arial" w:cs="Arial"/>
                <w:color w:val="000000"/>
              </w:rPr>
              <w:t>Nervonoic</w:t>
            </w:r>
            <w:proofErr w:type="spellEnd"/>
            <w:r w:rsidRPr="00D95C39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-0.03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0.77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 xml:space="preserve">C22:4 </w:t>
            </w:r>
            <w:proofErr w:type="spellStart"/>
            <w:r w:rsidRPr="00D95C39">
              <w:rPr>
                <w:rFonts w:ascii="Arial" w:eastAsia="Times New Roman" w:hAnsi="Arial" w:cs="Arial"/>
                <w:color w:val="000000"/>
              </w:rPr>
              <w:t>Docosatetranoic</w:t>
            </w:r>
            <w:proofErr w:type="spellEnd"/>
            <w:r w:rsidRPr="00D95C3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0.52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 xml:space="preserve">C22:5n3 </w:t>
            </w:r>
            <w:proofErr w:type="spellStart"/>
            <w:r w:rsidRPr="00D95C39">
              <w:rPr>
                <w:rFonts w:ascii="Arial" w:eastAsia="Times New Roman" w:hAnsi="Arial" w:cs="Arial"/>
                <w:color w:val="000000"/>
              </w:rPr>
              <w:t>Docosapentanoic</w:t>
            </w:r>
            <w:proofErr w:type="spellEnd"/>
            <w:r w:rsidRPr="00D95C39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0.56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0.00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0.98</w:t>
            </w:r>
          </w:p>
        </w:tc>
      </w:tr>
      <w:tr w:rsidR="006F6A68" w:rsidRPr="00D95C39" w:rsidTr="00C3176B">
        <w:trPr>
          <w:trHeight w:val="300"/>
        </w:trPr>
        <w:tc>
          <w:tcPr>
            <w:tcW w:w="4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C22:6n3 (cis-4,7,10,13,16,19-Docosahexaenoic)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>0.93</w:t>
            </w:r>
          </w:p>
        </w:tc>
      </w:tr>
      <w:tr w:rsidR="006F6A68" w:rsidRPr="00D95C39" w:rsidTr="00C3176B">
        <w:trPr>
          <w:trHeight w:val="300"/>
        </w:trPr>
        <w:tc>
          <w:tcPr>
            <w:tcW w:w="90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  <w:r w:rsidRPr="00D95C39">
              <w:rPr>
                <w:rFonts w:ascii="Arial" w:eastAsia="Times New Roman" w:hAnsi="Arial" w:cs="Arial"/>
                <w:color w:val="000000"/>
              </w:rPr>
              <w:t xml:space="preserve">Fatty acids were measured on lipids extracted from the RBCs of Biobank participants as reviewed in the Methods.  The demographics and clinical characteristics of the Biobank participants </w:t>
            </w:r>
            <w:proofErr w:type="gramStart"/>
            <w:r w:rsidRPr="00D95C39">
              <w:rPr>
                <w:rFonts w:ascii="Arial" w:eastAsia="Times New Roman" w:hAnsi="Arial" w:cs="Arial"/>
                <w:color w:val="000000"/>
              </w:rPr>
              <w:t>is</w:t>
            </w:r>
            <w:proofErr w:type="gramEnd"/>
            <w:r w:rsidRPr="00D95C39">
              <w:rPr>
                <w:rFonts w:ascii="Arial" w:eastAsia="Times New Roman" w:hAnsi="Arial" w:cs="Arial"/>
                <w:color w:val="000000"/>
              </w:rPr>
              <w:t xml:space="preserve"> shown in Table 5. Partial correlation (r) was calculated using linear regression of fALOD4 binding on the fatty acid, adjusting for age, sex, and ethnicity.</w:t>
            </w:r>
          </w:p>
          <w:p w:rsidR="006F6A68" w:rsidRPr="00D95C39" w:rsidRDefault="006F6A68" w:rsidP="00C3176B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6608CC" w:rsidRDefault="006608CC">
      <w:bookmarkStart w:id="0" w:name="_GoBack"/>
      <w:bookmarkEnd w:id="0"/>
    </w:p>
    <w:sectPr w:rsidR="00660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68"/>
    <w:rsid w:val="006608CC"/>
    <w:rsid w:val="006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68"/>
    <w:pPr>
      <w:spacing w:after="200" w:line="276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68"/>
    <w:pPr>
      <w:spacing w:after="200" w:line="276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H. Hobbs</dc:creator>
  <cp:lastModifiedBy>Helen H. Hobbs</cp:lastModifiedBy>
  <cp:revision>1</cp:revision>
  <dcterms:created xsi:type="dcterms:W3CDTF">2017-02-03T21:02:00Z</dcterms:created>
  <dcterms:modified xsi:type="dcterms:W3CDTF">2017-02-03T21:03:00Z</dcterms:modified>
</cp:coreProperties>
</file>