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5E46AF" w14:textId="773D205E" w:rsidR="00D835A9" w:rsidRDefault="00B93F09">
      <w:pPr>
        <w:rPr>
          <w:rFonts w:eastAsia="Times New Roman" w:cs="Times New Roman"/>
        </w:rPr>
      </w:pPr>
      <w:proofErr w:type="gramStart"/>
      <w:r w:rsidRPr="00345276">
        <w:rPr>
          <w:b/>
        </w:rPr>
        <w:t xml:space="preserve">Supplementary </w:t>
      </w:r>
      <w:r w:rsidR="00345276" w:rsidRPr="00345276">
        <w:rPr>
          <w:b/>
        </w:rPr>
        <w:t>File</w:t>
      </w:r>
      <w:r w:rsidRPr="00345276">
        <w:rPr>
          <w:b/>
        </w:rPr>
        <w:t xml:space="preserve"> 1</w:t>
      </w:r>
      <w:r>
        <w:t>.</w:t>
      </w:r>
      <w:proofErr w:type="gramEnd"/>
      <w:r>
        <w:t xml:space="preserve"> Estimated population size of major stocks of Atlantic herring in the North East Atlantic Ocean including the Baltic Sea bas</w:t>
      </w:r>
      <w:r w:rsidR="009F1828">
        <w:t xml:space="preserve">ed on assessment of the </w:t>
      </w:r>
      <w:r>
        <w:t xml:space="preserve">abundance </w:t>
      </w:r>
      <w:r w:rsidR="009F1828">
        <w:t>at</w:t>
      </w:r>
      <w:r>
        <w:t xml:space="preserve"> the </w:t>
      </w:r>
      <w:r w:rsidR="009F1828">
        <w:t xml:space="preserve">start of the </w:t>
      </w:r>
      <w:r w:rsidR="00BD2CD4">
        <w:t xml:space="preserve">existing </w:t>
      </w:r>
      <w:r w:rsidR="009F1828">
        <w:t xml:space="preserve">time series </w:t>
      </w:r>
      <w:r>
        <w:t xml:space="preserve">by </w:t>
      </w:r>
      <w:r w:rsidR="00BD2CD4">
        <w:t xml:space="preserve">the </w:t>
      </w:r>
      <w:r>
        <w:rPr>
          <w:rFonts w:eastAsia="Times New Roman" w:cs="Times New Roman"/>
        </w:rPr>
        <w:t>International Council for the Exploration of the Sea (ICES) (</w:t>
      </w:r>
      <w:hyperlink r:id="rId5" w:history="1">
        <w:r w:rsidRPr="002D4E53">
          <w:rPr>
            <w:rStyle w:val="Hyperlink"/>
            <w:rFonts w:eastAsia="Times New Roman" w:cs="Times New Roman"/>
          </w:rPr>
          <w:t>http://www.ices.dk</w:t>
        </w:r>
      </w:hyperlink>
      <w:r>
        <w:rPr>
          <w:rFonts w:eastAsia="Times New Roman" w:cs="Times New Roman"/>
        </w:rPr>
        <w:t xml:space="preserve">). </w:t>
      </w:r>
      <w:r w:rsidR="009F1828">
        <w:rPr>
          <w:rFonts w:eastAsia="Times New Roman" w:cs="Times New Roman"/>
        </w:rPr>
        <w:t xml:space="preserve">We chose the start of the time series since some of these stocks have </w:t>
      </w:r>
      <w:r w:rsidR="008233F5">
        <w:rPr>
          <w:rFonts w:eastAsia="Times New Roman" w:cs="Times New Roman"/>
        </w:rPr>
        <w:t xml:space="preserve">since then </w:t>
      </w:r>
      <w:r w:rsidR="009F1828">
        <w:rPr>
          <w:rFonts w:eastAsia="Times New Roman" w:cs="Times New Roman"/>
        </w:rPr>
        <w:t xml:space="preserve">been reduced by intensive fishing. </w:t>
      </w:r>
      <w:r>
        <w:rPr>
          <w:rFonts w:eastAsia="Times New Roman" w:cs="Times New Roman"/>
        </w:rPr>
        <w:t xml:space="preserve">This is an underestimate of the total census populations of Atlantic herring since the stocks in the </w:t>
      </w:r>
      <w:r>
        <w:rPr>
          <w:rFonts w:eastAsia="Times New Roman" w:cs="Times New Roman"/>
        </w:rPr>
        <w:t xml:space="preserve">West Atlantic Ocean </w:t>
      </w:r>
      <w:r w:rsidR="00BD2CD4">
        <w:rPr>
          <w:rFonts w:eastAsia="Times New Roman" w:cs="Times New Roman"/>
        </w:rPr>
        <w:t xml:space="preserve">are not </w:t>
      </w:r>
      <w:r>
        <w:rPr>
          <w:rFonts w:eastAsia="Times New Roman" w:cs="Times New Roman"/>
        </w:rPr>
        <w:t>included.</w:t>
      </w:r>
    </w:p>
    <w:p w14:paraId="09CA5C07" w14:textId="77777777" w:rsidR="00B93F09" w:rsidRDefault="00B93F09">
      <w:pPr>
        <w:rPr>
          <w:rFonts w:eastAsia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1837"/>
        <w:gridCol w:w="3507"/>
      </w:tblGrid>
      <w:tr w:rsidR="00FB3942" w14:paraId="70DA3D7D" w14:textId="77777777" w:rsidTr="007E7E9A"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</w:tcPr>
          <w:p w14:paraId="333931B7" w14:textId="77777777" w:rsidR="00FB3942" w:rsidRDefault="00FB3942">
            <w:r>
              <w:t>Stock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14:paraId="2A6A0589" w14:textId="2AF34064" w:rsidR="00FB3942" w:rsidRDefault="00FB3942">
            <w:r>
              <w:t>Year</w:t>
            </w:r>
          </w:p>
        </w:tc>
        <w:tc>
          <w:tcPr>
            <w:tcW w:w="3507" w:type="dxa"/>
            <w:tcBorders>
              <w:top w:val="single" w:sz="4" w:space="0" w:color="auto"/>
              <w:bottom w:val="single" w:sz="4" w:space="0" w:color="auto"/>
            </w:tcBorders>
          </w:tcPr>
          <w:p w14:paraId="343503A9" w14:textId="438041D3" w:rsidR="00FB3942" w:rsidRDefault="00FB3942">
            <w:r>
              <w:t xml:space="preserve">Estimated population size </w:t>
            </w:r>
          </w:p>
        </w:tc>
      </w:tr>
      <w:tr w:rsidR="00FB3942" w14:paraId="745F3E98" w14:textId="77777777" w:rsidTr="007E7E9A">
        <w:tc>
          <w:tcPr>
            <w:tcW w:w="3936" w:type="dxa"/>
            <w:tcBorders>
              <w:top w:val="single" w:sz="4" w:space="0" w:color="auto"/>
            </w:tcBorders>
          </w:tcPr>
          <w:p w14:paraId="7F75CF1B" w14:textId="77777777" w:rsidR="00FB3942" w:rsidRDefault="00FB3942">
            <w:r>
              <w:t>North Sea</w:t>
            </w:r>
          </w:p>
        </w:tc>
        <w:tc>
          <w:tcPr>
            <w:tcW w:w="1837" w:type="dxa"/>
            <w:tcBorders>
              <w:top w:val="single" w:sz="4" w:space="0" w:color="auto"/>
            </w:tcBorders>
          </w:tcPr>
          <w:p w14:paraId="33695818" w14:textId="50FA08FB" w:rsidR="00FB3942" w:rsidRDefault="00FB3942">
            <w:r>
              <w:t>1947</w:t>
            </w:r>
          </w:p>
        </w:tc>
        <w:tc>
          <w:tcPr>
            <w:tcW w:w="3507" w:type="dxa"/>
            <w:tcBorders>
              <w:top w:val="single" w:sz="4" w:space="0" w:color="auto"/>
            </w:tcBorders>
          </w:tcPr>
          <w:p w14:paraId="659731D2" w14:textId="16A7E77A" w:rsidR="00FB3942" w:rsidRDefault="00FB3942">
            <w:r>
              <w:t>1.2 x 10</w:t>
            </w:r>
            <w:r w:rsidRPr="009F1828">
              <w:rPr>
                <w:vertAlign w:val="superscript"/>
              </w:rPr>
              <w:t>11</w:t>
            </w:r>
          </w:p>
        </w:tc>
      </w:tr>
      <w:tr w:rsidR="00FB3942" w14:paraId="09C6F427" w14:textId="77777777" w:rsidTr="007E7E9A">
        <w:tc>
          <w:tcPr>
            <w:tcW w:w="3936" w:type="dxa"/>
          </w:tcPr>
          <w:p w14:paraId="04F15059" w14:textId="3A1B2D0A" w:rsidR="00FB3942" w:rsidRDefault="00FB3942">
            <w:r>
              <w:t>Celtic Sea</w:t>
            </w:r>
          </w:p>
        </w:tc>
        <w:tc>
          <w:tcPr>
            <w:tcW w:w="1837" w:type="dxa"/>
          </w:tcPr>
          <w:p w14:paraId="2A825AF8" w14:textId="2337580E" w:rsidR="00FB3942" w:rsidRDefault="00FB3942">
            <w:r>
              <w:t>1958</w:t>
            </w:r>
          </w:p>
        </w:tc>
        <w:tc>
          <w:tcPr>
            <w:tcW w:w="3507" w:type="dxa"/>
          </w:tcPr>
          <w:p w14:paraId="38A41503" w14:textId="2B318EFD" w:rsidR="00FB3942" w:rsidRDefault="00FB3942">
            <w:r>
              <w:t>1.4 x 10</w:t>
            </w:r>
            <w:r w:rsidRPr="009F1828">
              <w:rPr>
                <w:vertAlign w:val="superscript"/>
              </w:rPr>
              <w:t>9</w:t>
            </w:r>
          </w:p>
        </w:tc>
      </w:tr>
      <w:tr w:rsidR="00FB3942" w14:paraId="45D9D214" w14:textId="77777777" w:rsidTr="007E7E9A">
        <w:tc>
          <w:tcPr>
            <w:tcW w:w="3936" w:type="dxa"/>
          </w:tcPr>
          <w:p w14:paraId="30912A66" w14:textId="56F289D9" w:rsidR="00FB3942" w:rsidRDefault="00FB3942">
            <w:r>
              <w:t>West Scotland/Ireland</w:t>
            </w:r>
          </w:p>
        </w:tc>
        <w:tc>
          <w:tcPr>
            <w:tcW w:w="1837" w:type="dxa"/>
          </w:tcPr>
          <w:p w14:paraId="2BDD6065" w14:textId="1D39E6E2" w:rsidR="00FB3942" w:rsidRDefault="00FB3942">
            <w:r>
              <w:t>1957</w:t>
            </w:r>
          </w:p>
        </w:tc>
        <w:tc>
          <w:tcPr>
            <w:tcW w:w="3507" w:type="dxa"/>
          </w:tcPr>
          <w:p w14:paraId="4C1467AA" w14:textId="72ED4938" w:rsidR="00FB3942" w:rsidRDefault="00FB3942">
            <w:r>
              <w:t>4.3 x 10</w:t>
            </w:r>
            <w:r w:rsidRPr="009F1828">
              <w:rPr>
                <w:vertAlign w:val="superscript"/>
              </w:rPr>
              <w:t>9</w:t>
            </w:r>
          </w:p>
        </w:tc>
      </w:tr>
      <w:tr w:rsidR="00FB3942" w14:paraId="6DF1F14E" w14:textId="77777777" w:rsidTr="007E7E9A">
        <w:tc>
          <w:tcPr>
            <w:tcW w:w="3936" w:type="dxa"/>
          </w:tcPr>
          <w:p w14:paraId="505D23A1" w14:textId="77777777" w:rsidR="00FB3942" w:rsidRDefault="00FB3942">
            <w:r>
              <w:t>Irish Sea</w:t>
            </w:r>
          </w:p>
        </w:tc>
        <w:tc>
          <w:tcPr>
            <w:tcW w:w="1837" w:type="dxa"/>
          </w:tcPr>
          <w:p w14:paraId="19000623" w14:textId="515B1EC1" w:rsidR="00FB3942" w:rsidRDefault="00FB3942" w:rsidP="009F1828">
            <w:r>
              <w:t>1961</w:t>
            </w:r>
          </w:p>
        </w:tc>
        <w:tc>
          <w:tcPr>
            <w:tcW w:w="3507" w:type="dxa"/>
          </w:tcPr>
          <w:p w14:paraId="202CB394" w14:textId="1B276D3D" w:rsidR="00FB3942" w:rsidRDefault="00FB3942" w:rsidP="009F1828">
            <w:r>
              <w:t>1.9 x 10</w:t>
            </w:r>
            <w:r>
              <w:rPr>
                <w:vertAlign w:val="superscript"/>
              </w:rPr>
              <w:t>8</w:t>
            </w:r>
          </w:p>
        </w:tc>
      </w:tr>
      <w:tr w:rsidR="00FB3942" w14:paraId="5B85FD4A" w14:textId="77777777" w:rsidTr="007E7E9A">
        <w:tc>
          <w:tcPr>
            <w:tcW w:w="3936" w:type="dxa"/>
          </w:tcPr>
          <w:p w14:paraId="75C3348B" w14:textId="7F0FA1D1" w:rsidR="00FB3942" w:rsidRDefault="00FB3942">
            <w:r>
              <w:t>Norwegian Spring Spawning</w:t>
            </w:r>
          </w:p>
        </w:tc>
        <w:tc>
          <w:tcPr>
            <w:tcW w:w="1837" w:type="dxa"/>
          </w:tcPr>
          <w:p w14:paraId="3C702D05" w14:textId="2FB7A3DD" w:rsidR="00FB3942" w:rsidRDefault="00FB3942">
            <w:r>
              <w:t>1988</w:t>
            </w:r>
          </w:p>
        </w:tc>
        <w:tc>
          <w:tcPr>
            <w:tcW w:w="3507" w:type="dxa"/>
          </w:tcPr>
          <w:p w14:paraId="5CC3B866" w14:textId="0BC087B6" w:rsidR="00FB3942" w:rsidRDefault="00FB3942">
            <w:r>
              <w:t>8.6 x 10</w:t>
            </w:r>
            <w:r w:rsidRPr="0072691E">
              <w:rPr>
                <w:vertAlign w:val="superscript"/>
              </w:rPr>
              <w:t>11</w:t>
            </w:r>
          </w:p>
        </w:tc>
      </w:tr>
      <w:tr w:rsidR="00FB3942" w14:paraId="3C171090" w14:textId="77777777" w:rsidTr="007E7E9A">
        <w:tc>
          <w:tcPr>
            <w:tcW w:w="3936" w:type="dxa"/>
          </w:tcPr>
          <w:p w14:paraId="3E52F0BA" w14:textId="15BFCFE1" w:rsidR="00FB3942" w:rsidRDefault="00FB3942" w:rsidP="0072691E">
            <w:r>
              <w:t>Iceland Summer Spawning</w:t>
            </w:r>
          </w:p>
        </w:tc>
        <w:tc>
          <w:tcPr>
            <w:tcW w:w="1837" w:type="dxa"/>
          </w:tcPr>
          <w:p w14:paraId="4E24112A" w14:textId="33160F48" w:rsidR="00FB3942" w:rsidRDefault="00FB3942">
            <w:r>
              <w:t>1987</w:t>
            </w:r>
          </w:p>
        </w:tc>
        <w:tc>
          <w:tcPr>
            <w:tcW w:w="3507" w:type="dxa"/>
          </w:tcPr>
          <w:p w14:paraId="0EE9D82E" w14:textId="0018DCA3" w:rsidR="00FB3942" w:rsidRDefault="00FB3942">
            <w:r>
              <w:t>2.3 x 10</w:t>
            </w:r>
            <w:r w:rsidRPr="0072691E">
              <w:rPr>
                <w:vertAlign w:val="superscript"/>
              </w:rPr>
              <w:t>7</w:t>
            </w:r>
          </w:p>
        </w:tc>
      </w:tr>
      <w:tr w:rsidR="00FB3942" w14:paraId="2F539D8E" w14:textId="77777777" w:rsidTr="007E7E9A">
        <w:tc>
          <w:tcPr>
            <w:tcW w:w="3936" w:type="dxa"/>
          </w:tcPr>
          <w:p w14:paraId="5BE33276" w14:textId="18095C00" w:rsidR="00FB3942" w:rsidRDefault="00FB3942">
            <w:r>
              <w:t>Western Baltic Sea</w:t>
            </w:r>
          </w:p>
        </w:tc>
        <w:tc>
          <w:tcPr>
            <w:tcW w:w="1837" w:type="dxa"/>
          </w:tcPr>
          <w:p w14:paraId="74E53DC8" w14:textId="70550742" w:rsidR="00FB3942" w:rsidRDefault="00FB3942">
            <w:r>
              <w:t>1991</w:t>
            </w:r>
          </w:p>
        </w:tc>
        <w:tc>
          <w:tcPr>
            <w:tcW w:w="3507" w:type="dxa"/>
          </w:tcPr>
          <w:p w14:paraId="3613C404" w14:textId="38F91B17" w:rsidR="00FB3942" w:rsidRDefault="00FB3942">
            <w:r>
              <w:t>1.4 x 10</w:t>
            </w:r>
            <w:r w:rsidRPr="0072691E">
              <w:rPr>
                <w:vertAlign w:val="superscript"/>
              </w:rPr>
              <w:t>10</w:t>
            </w:r>
          </w:p>
        </w:tc>
      </w:tr>
      <w:tr w:rsidR="00FB3942" w14:paraId="57925DB4" w14:textId="77777777" w:rsidTr="007E7E9A">
        <w:tc>
          <w:tcPr>
            <w:tcW w:w="3936" w:type="dxa"/>
          </w:tcPr>
          <w:p w14:paraId="35D00ABB" w14:textId="7A96B570" w:rsidR="00FB3942" w:rsidRDefault="00FB3942" w:rsidP="00D84A04">
            <w:r>
              <w:t>Central Baltic</w:t>
            </w:r>
          </w:p>
        </w:tc>
        <w:tc>
          <w:tcPr>
            <w:tcW w:w="1837" w:type="dxa"/>
          </w:tcPr>
          <w:p w14:paraId="63328B95" w14:textId="09046178" w:rsidR="00FB3942" w:rsidRDefault="00FB3942">
            <w:r>
              <w:t>1974</w:t>
            </w:r>
          </w:p>
        </w:tc>
        <w:tc>
          <w:tcPr>
            <w:tcW w:w="3507" w:type="dxa"/>
          </w:tcPr>
          <w:p w14:paraId="09387FFA" w14:textId="6CC0D529" w:rsidR="00FB3942" w:rsidRDefault="00FB3942">
            <w:r>
              <w:t>6.0 x 10</w:t>
            </w:r>
            <w:r w:rsidRPr="0072691E">
              <w:rPr>
                <w:vertAlign w:val="superscript"/>
              </w:rPr>
              <w:t>10</w:t>
            </w:r>
          </w:p>
        </w:tc>
      </w:tr>
      <w:tr w:rsidR="00FB3942" w14:paraId="7058BA7D" w14:textId="77777777" w:rsidTr="007E7E9A">
        <w:tc>
          <w:tcPr>
            <w:tcW w:w="3936" w:type="dxa"/>
          </w:tcPr>
          <w:p w14:paraId="2521B1F6" w14:textId="77777777" w:rsidR="00FB3942" w:rsidRDefault="00FB3942">
            <w:r>
              <w:t>Gulf of Bothnia</w:t>
            </w:r>
          </w:p>
        </w:tc>
        <w:tc>
          <w:tcPr>
            <w:tcW w:w="1837" w:type="dxa"/>
          </w:tcPr>
          <w:p w14:paraId="19684716" w14:textId="081C010E" w:rsidR="00FB3942" w:rsidRDefault="00FB3942" w:rsidP="008C0D95">
            <w:r>
              <w:t>1980</w:t>
            </w:r>
          </w:p>
        </w:tc>
        <w:tc>
          <w:tcPr>
            <w:tcW w:w="3507" w:type="dxa"/>
          </w:tcPr>
          <w:p w14:paraId="18B4EF9B" w14:textId="27F80455" w:rsidR="00FB3942" w:rsidRDefault="00FB3942" w:rsidP="008C0D95">
            <w:r>
              <w:t>9.2 x 10</w:t>
            </w:r>
            <w:r w:rsidRPr="0072691E">
              <w:rPr>
                <w:vertAlign w:val="superscript"/>
              </w:rPr>
              <w:t>9</w:t>
            </w:r>
          </w:p>
        </w:tc>
      </w:tr>
      <w:tr w:rsidR="00FB3942" w14:paraId="1B2C763D" w14:textId="77777777" w:rsidTr="007E7E9A">
        <w:tc>
          <w:tcPr>
            <w:tcW w:w="3936" w:type="dxa"/>
          </w:tcPr>
          <w:p w14:paraId="16F73B8F" w14:textId="02BB8D91" w:rsidR="00FB3942" w:rsidRDefault="00FB3942">
            <w:r>
              <w:t>Gulf of Riga</w:t>
            </w:r>
          </w:p>
        </w:tc>
        <w:tc>
          <w:tcPr>
            <w:tcW w:w="1837" w:type="dxa"/>
          </w:tcPr>
          <w:p w14:paraId="38D3C69A" w14:textId="35611C00" w:rsidR="00FB3942" w:rsidRDefault="00FB3942">
            <w:r>
              <w:t>1977</w:t>
            </w:r>
          </w:p>
        </w:tc>
        <w:tc>
          <w:tcPr>
            <w:tcW w:w="3507" w:type="dxa"/>
          </w:tcPr>
          <w:p w14:paraId="25B49107" w14:textId="666B2E6D" w:rsidR="00FB3942" w:rsidRDefault="00FB3942">
            <w:r>
              <w:t>4.5 x 10</w:t>
            </w:r>
            <w:r w:rsidRPr="0072691E">
              <w:rPr>
                <w:vertAlign w:val="superscript"/>
              </w:rPr>
              <w:t>9</w:t>
            </w:r>
          </w:p>
        </w:tc>
      </w:tr>
      <w:tr w:rsidR="00FB3942" w:rsidRPr="008233F5" w14:paraId="4000CDA3" w14:textId="77777777" w:rsidTr="007E7E9A">
        <w:tc>
          <w:tcPr>
            <w:tcW w:w="3936" w:type="dxa"/>
            <w:tcBorders>
              <w:bottom w:val="single" w:sz="4" w:space="0" w:color="auto"/>
            </w:tcBorders>
          </w:tcPr>
          <w:p w14:paraId="13C0BA96" w14:textId="77777777" w:rsidR="00FB3942" w:rsidRPr="008233F5" w:rsidRDefault="00FB3942">
            <w:pPr>
              <w:rPr>
                <w:rFonts w:ascii="Times New Roman" w:hAnsi="Times New Roman" w:cs="Times New Roman"/>
              </w:rPr>
            </w:pPr>
            <w:r w:rsidRPr="008233F5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14:paraId="7CA6ED87" w14:textId="77777777" w:rsidR="00FB3942" w:rsidRPr="008233F5" w:rsidRDefault="00FB3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7" w:type="dxa"/>
            <w:tcBorders>
              <w:bottom w:val="single" w:sz="4" w:space="0" w:color="auto"/>
            </w:tcBorders>
          </w:tcPr>
          <w:p w14:paraId="63C2B759" w14:textId="2F76D3C5" w:rsidR="00FB3942" w:rsidRPr="008233F5" w:rsidRDefault="00FB3942">
            <w:pPr>
              <w:rPr>
                <w:rFonts w:ascii="Times New Roman" w:hAnsi="Times New Roman" w:cs="Times New Roman"/>
              </w:rPr>
            </w:pPr>
            <w:r w:rsidRPr="008233F5">
              <w:rPr>
                <w:rFonts w:ascii="Times New Roman" w:hAnsi="Times New Roman" w:cs="Times New Roman"/>
              </w:rPr>
              <w:t>1.0 x 10</w:t>
            </w:r>
            <w:r w:rsidRPr="008233F5">
              <w:rPr>
                <w:rFonts w:ascii="Times New Roman" w:hAnsi="Times New Roman" w:cs="Times New Roman"/>
                <w:vertAlign w:val="superscript"/>
              </w:rPr>
              <w:t>12</w:t>
            </w:r>
          </w:p>
        </w:tc>
      </w:tr>
    </w:tbl>
    <w:p w14:paraId="79DDCD2A" w14:textId="77777777" w:rsidR="00B93F09" w:rsidRDefault="00B93F09">
      <w:bookmarkStart w:id="0" w:name="_GoBack"/>
      <w:bookmarkEnd w:id="0"/>
    </w:p>
    <w:sectPr w:rsidR="00B93F09" w:rsidSect="00971513">
      <w:pgSz w:w="11900" w:h="16840"/>
      <w:pgMar w:top="1440" w:right="1418" w:bottom="14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F09"/>
    <w:rsid w:val="00025890"/>
    <w:rsid w:val="000C1A77"/>
    <w:rsid w:val="00345276"/>
    <w:rsid w:val="0072691E"/>
    <w:rsid w:val="007E7E9A"/>
    <w:rsid w:val="008233F5"/>
    <w:rsid w:val="008C0D95"/>
    <w:rsid w:val="00971513"/>
    <w:rsid w:val="009F1828"/>
    <w:rsid w:val="00B93F09"/>
    <w:rsid w:val="00BD2CD4"/>
    <w:rsid w:val="00D835A9"/>
    <w:rsid w:val="00D84A04"/>
    <w:rsid w:val="00DF5799"/>
    <w:rsid w:val="00E6488B"/>
    <w:rsid w:val="00FB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E4F10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3F0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F57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4A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A04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84A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4A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4A04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4A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4A04"/>
    <w:rPr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3F0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F57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4A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A04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84A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4A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4A04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4A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4A04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ices.dk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842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Uppsala Universitet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Leif Andersson</dc:creator>
  <cp:lastModifiedBy>Leif Andersson</cp:lastModifiedBy>
  <cp:revision>2</cp:revision>
  <dcterms:created xsi:type="dcterms:W3CDTF">2017-06-18T05:34:00Z</dcterms:created>
  <dcterms:modified xsi:type="dcterms:W3CDTF">2017-06-18T05:34:00Z</dcterms:modified>
</cp:coreProperties>
</file>