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94391" w:rsidRDefault="00E94391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94391" w:rsidRDefault="00E94391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94391" w:rsidRDefault="00E94391" w:rsidP="00E94391">
      <w:pPr>
        <w:spacing w:line="276" w:lineRule="auto"/>
        <w:jc w:val="both"/>
        <w:rPr>
          <w:sz w:val="22"/>
          <w:szCs w:val="22"/>
        </w:rPr>
      </w:pPr>
    </w:p>
    <w:p w:rsidR="00E94391" w:rsidRDefault="00E94391" w:rsidP="00E94391">
      <w:pPr>
        <w:spacing w:line="276" w:lineRule="auto"/>
        <w:jc w:val="both"/>
        <w:rPr>
          <w:sz w:val="22"/>
          <w:szCs w:val="22"/>
        </w:rPr>
      </w:pPr>
    </w:p>
    <w:p w:rsidR="00E94391" w:rsidRDefault="00E94391" w:rsidP="00E94391">
      <w:pPr>
        <w:spacing w:line="276" w:lineRule="auto"/>
        <w:jc w:val="center"/>
        <w:rPr>
          <w:sz w:val="22"/>
          <w:szCs w:val="22"/>
        </w:rPr>
      </w:pPr>
    </w:p>
    <w:p w:rsidR="00E94391" w:rsidRDefault="00E94391" w:rsidP="00E94391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917660" cy="354224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404" cy="3542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391" w:rsidRPr="00CA3B02" w:rsidRDefault="00E94391" w:rsidP="00E94391">
      <w:pPr>
        <w:spacing w:line="276" w:lineRule="auto"/>
        <w:jc w:val="center"/>
        <w:rPr>
          <w:sz w:val="22"/>
          <w:szCs w:val="22"/>
        </w:rPr>
      </w:pPr>
    </w:p>
    <w:p w:rsidR="00E94391" w:rsidRDefault="008F571B" w:rsidP="00E94391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Figure 1 – supplement 3</w:t>
      </w:r>
      <w:r w:rsidR="00E94391" w:rsidRPr="00CA3B02">
        <w:rPr>
          <w:rFonts w:ascii="Times New Roman" w:eastAsia="Times New Roman" w:hAnsi="Times New Roman" w:cs="Times New Roman"/>
          <w:b/>
          <w:sz w:val="22"/>
          <w:szCs w:val="22"/>
        </w:rPr>
        <w:t>. The domains and subdomains of the components of AcrABZ-TolC pump.</w:t>
      </w:r>
      <w:r w:rsidR="00E94391" w:rsidRPr="00CA3B02">
        <w:rPr>
          <w:rFonts w:ascii="Times New Roman" w:eastAsia="Times New Roman" w:hAnsi="Times New Roman" w:cs="Times New Roman"/>
          <w:sz w:val="22"/>
          <w:szCs w:val="22"/>
        </w:rPr>
        <w:t xml:space="preserve"> (A) Linear representation of protein components of AcrABZ-TolC. The domains are described in the text. The </w:t>
      </w:r>
      <w:r w:rsidR="008F69EF">
        <w:rPr>
          <w:rFonts w:ascii="Times New Roman" w:eastAsia="Times New Roman" w:hAnsi="Times New Roman" w:cs="Times New Roman"/>
          <w:sz w:val="22"/>
          <w:szCs w:val="22"/>
        </w:rPr>
        <w:t xml:space="preserve">cryoEM derived models of </w:t>
      </w:r>
      <w:r w:rsidR="00894DE5">
        <w:rPr>
          <w:rFonts w:ascii="Times New Roman" w:eastAsia="Times New Roman" w:hAnsi="Times New Roman" w:cs="Times New Roman"/>
          <w:sz w:val="22"/>
          <w:szCs w:val="22"/>
        </w:rPr>
        <w:t xml:space="preserve">fitted </w:t>
      </w:r>
      <w:r w:rsidR="00E94391" w:rsidRPr="00CA3B02">
        <w:rPr>
          <w:rFonts w:ascii="Times New Roman" w:eastAsia="Times New Roman" w:hAnsi="Times New Roman" w:cs="Times New Roman"/>
          <w:sz w:val="22"/>
          <w:szCs w:val="22"/>
        </w:rPr>
        <w:t xml:space="preserve">subunits of TolC (B), AcrA (C) AcrB (D) and AcrZ (E) are colour-coded by domains as in panel (A). </w:t>
      </w:r>
      <w:r w:rsidR="00E94391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F27805">
    <w:pPr>
      <w:spacing w:after="720"/>
      <w:jc w:val="center"/>
    </w:pPr>
    <w:fldSimple w:instr="PAGE">
      <w:r w:rsidR="00666E47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66E4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C45F9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27805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49AECE-BABC-6C4A-9989-5BEF7196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275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2017-03-06T18:23:00Z</dcterms:created>
  <dcterms:modified xsi:type="dcterms:W3CDTF">2017-03-06T18:23:00Z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