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73B0" w:rsidRDefault="009773B0" w:rsidP="000638C7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9773B0" w:rsidRDefault="009773B0" w:rsidP="009773B0">
      <w:pPr>
        <w:spacing w:line="276" w:lineRule="auto"/>
        <w:jc w:val="both"/>
        <w:rPr>
          <w:sz w:val="22"/>
          <w:szCs w:val="22"/>
        </w:rPr>
      </w:pPr>
    </w:p>
    <w:p w:rsidR="009773B0" w:rsidRDefault="009773B0" w:rsidP="009773B0">
      <w:pPr>
        <w:spacing w:line="276" w:lineRule="auto"/>
        <w:jc w:val="center"/>
        <w:rPr>
          <w:sz w:val="22"/>
          <w:szCs w:val="22"/>
        </w:rPr>
      </w:pPr>
    </w:p>
    <w:p w:rsidR="009773B0" w:rsidRDefault="009773B0" w:rsidP="009773B0">
      <w:pPr>
        <w:spacing w:line="276" w:lineRule="auto"/>
        <w:jc w:val="center"/>
        <w:rPr>
          <w:sz w:val="22"/>
          <w:szCs w:val="22"/>
        </w:rPr>
      </w:pPr>
    </w:p>
    <w:p w:rsidR="009773B0" w:rsidRDefault="009773B0" w:rsidP="009773B0">
      <w:pPr>
        <w:spacing w:line="276" w:lineRule="auto"/>
        <w:jc w:val="center"/>
        <w:rPr>
          <w:sz w:val="22"/>
          <w:szCs w:val="22"/>
        </w:rPr>
      </w:pPr>
    </w:p>
    <w:p w:rsidR="009773B0" w:rsidRPr="00CA3B02" w:rsidRDefault="009773B0" w:rsidP="009773B0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689060" cy="302448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50" cy="302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3B0" w:rsidRPr="00CA3B02" w:rsidRDefault="009773B0" w:rsidP="009773B0">
      <w:pPr>
        <w:spacing w:line="276" w:lineRule="auto"/>
        <w:jc w:val="both"/>
        <w:rPr>
          <w:sz w:val="22"/>
          <w:szCs w:val="22"/>
        </w:rPr>
      </w:pPr>
    </w:p>
    <w:p w:rsidR="009773B0" w:rsidRDefault="008F571B" w:rsidP="009773B0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Figure 1 – supplement 4</w:t>
      </w:r>
      <w:r w:rsidR="009773B0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. Resolution estimation of the apo AcrAB-TolC pump with closed TolC. </w:t>
      </w:r>
      <w:r w:rsidR="009773B0" w:rsidRPr="00CA3B02">
        <w:rPr>
          <w:rFonts w:ascii="Times New Roman" w:eastAsia="Times New Roman" w:hAnsi="Times New Roman" w:cs="Times New Roman"/>
          <w:sz w:val="22"/>
          <w:szCs w:val="22"/>
        </w:rPr>
        <w:t>(A)</w:t>
      </w:r>
      <w:r w:rsidR="009773B0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773B0" w:rsidRPr="00CA3B02">
        <w:rPr>
          <w:rFonts w:ascii="Times New Roman" w:eastAsia="Times New Roman" w:hAnsi="Times New Roman" w:cs="Times New Roman"/>
          <w:sz w:val="22"/>
          <w:szCs w:val="22"/>
        </w:rPr>
        <w:t>True FSC curves of AcrAB-TolC pump with closed TolC. (B)</w:t>
      </w:r>
      <w:r w:rsidR="009773B0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773B0" w:rsidRPr="00CA3B02">
        <w:rPr>
          <w:rFonts w:ascii="Times New Roman" w:eastAsia="Times New Roman" w:hAnsi="Times New Roman" w:cs="Times New Roman"/>
          <w:sz w:val="22"/>
          <w:szCs w:val="22"/>
        </w:rPr>
        <w:t>FSC between cryoEM density map and model. (C)</w:t>
      </w:r>
      <w:r w:rsidR="009773B0"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773B0" w:rsidRPr="00CA3B02">
        <w:rPr>
          <w:rFonts w:ascii="Times New Roman" w:eastAsia="Times New Roman" w:hAnsi="Times New Roman" w:cs="Times New Roman"/>
          <w:sz w:val="22"/>
          <w:szCs w:val="22"/>
        </w:rPr>
        <w:t xml:space="preserve">Coloured coded ResMap map of the apo AcrAB-TolC. The map is depicted as viewed along the membrane plane.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095433">
    <w:pPr>
      <w:spacing w:after="720"/>
      <w:jc w:val="center"/>
    </w:pPr>
    <w:fldSimple w:instr="PAGE">
      <w:r w:rsidR="007142DF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95433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42860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142DF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31390"/>
    <w:rsid w:val="00A71DDA"/>
    <w:rsid w:val="00A805F3"/>
    <w:rsid w:val="00A85B97"/>
    <w:rsid w:val="00A918CC"/>
    <w:rsid w:val="00A92D0E"/>
    <w:rsid w:val="00A966E2"/>
    <w:rsid w:val="00AA0FA0"/>
    <w:rsid w:val="00AB0CBF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C890853-CF15-C845-8753-E5578820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254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2017-03-06T18:24:00Z</dcterms:created>
  <dcterms:modified xsi:type="dcterms:W3CDTF">2017-03-06T18:25:00Z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