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34FC" w:rsidRDefault="000A34FC" w:rsidP="000638C7">
      <w:pPr>
        <w:spacing w:line="276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>
            <wp:extent cx="4369115" cy="5956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673" cy="595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4FC" w:rsidRPr="00CA3B02" w:rsidRDefault="000A34FC">
      <w:pPr>
        <w:spacing w:line="276" w:lineRule="auto"/>
        <w:jc w:val="both"/>
        <w:rPr>
          <w:sz w:val="22"/>
          <w:szCs w:val="22"/>
        </w:rPr>
      </w:pPr>
    </w:p>
    <w:p w:rsidR="008F571B" w:rsidRDefault="00A805F3" w:rsidP="00FC439D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Figure </w:t>
      </w:r>
      <w:r w:rsidR="001425BB">
        <w:rPr>
          <w:rFonts w:ascii="Times New Roman" w:eastAsia="Times New Roman" w:hAnsi="Times New Roman" w:cs="Times New Roman"/>
          <w:b/>
          <w:bCs/>
          <w:sz w:val="22"/>
          <w:szCs w:val="22"/>
        </w:rPr>
        <w:t>3</w:t>
      </w:r>
      <w:r w:rsidR="008F571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– supplement 1</w:t>
      </w:r>
      <w:r w:rsidR="00196537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Workflow of </w:t>
      </w:r>
      <w:r w:rsidR="00E129E2">
        <w:rPr>
          <w:rFonts w:ascii="Times New Roman" w:eastAsia="Times New Roman" w:hAnsi="Times New Roman" w:cs="Times New Roman"/>
          <w:b/>
          <w:bCs/>
          <w:sz w:val="22"/>
          <w:szCs w:val="22"/>
        </w:rPr>
        <w:t>f</w:t>
      </w:r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ocused classification with residual signal subtraction for </w:t>
      </w:r>
      <w:r w:rsidR="00196537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the AcrABZ-TolC/MBX3132 pump</w:t>
      </w:r>
      <w:r w:rsidR="00F94F5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reconstructed with C3 symmetry imposition</w:t>
      </w:r>
      <w:r w:rsidR="00196537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>(A)</w:t>
      </w:r>
      <w:r w:rsidR="00196537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A soft mask is generated in the target region of the pump complex for focused classification.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(B) 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Generation of three maps with the part of the complex to be ignored in focused classification.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(C)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Generation of modified particle images for focused classification by subtraction of the 2D projections of the maps in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(B)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from raw images. The modified images are CTF corrected.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(D)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The focused 3D classification procedure yielded two principal classes, only one class showed ligand density in the hydrophobic trap of AcrB.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(E)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Particles were classified by their ligand states (TTT, LTT, LLT) according to the classification result in </w:t>
      </w:r>
      <w:r w:rsidRPr="00CA3B02">
        <w:rPr>
          <w:rFonts w:ascii="Times New Roman" w:eastAsia="Times New Roman" w:hAnsi="Times New Roman" w:cs="Times New Roman"/>
          <w:bCs/>
          <w:sz w:val="22"/>
          <w:szCs w:val="22"/>
        </w:rPr>
        <w:t>d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. The LLL state (not shown) was only observed in a few particles.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(F)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FSC profile for the particle reconstructions with C3 symmetry</w:t>
      </w:r>
      <w:r w:rsidR="00F94F54">
        <w:rPr>
          <w:rFonts w:ascii="Times New Roman" w:eastAsia="Times New Roman" w:hAnsi="Times New Roman" w:cs="Times New Roman"/>
          <w:sz w:val="22"/>
          <w:szCs w:val="22"/>
        </w:rPr>
        <w:t xml:space="preserve"> using particle images classified as TTT state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. The dotted grey line shows the profile in which the phases were randomized at 5 Å resolution.</w:t>
      </w:r>
      <w:r w:rsidR="00196537" w:rsidRPr="00CA3B02">
        <w:rPr>
          <w:rFonts w:ascii="Times New Roman" w:eastAsia="Times New Roman" w:hAnsi="Times New Roman" w:cs="Times New Roman"/>
          <w:sz w:val="22"/>
          <w:szCs w:val="22"/>
        </w:rPr>
        <w:t xml:space="preserve"> (G)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Colour-coded 3D map of AcrABZ-TolC/MBX3132 based on resolution variations obtained with ResMap (Methods).</w:t>
      </w:r>
    </w:p>
    <w:p w:rsidR="000A34FC" w:rsidRDefault="000A34FC" w:rsidP="00FC439D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B60CB7">
    <w:pPr>
      <w:spacing w:after="720"/>
      <w:jc w:val="center"/>
    </w:pPr>
    <w:fldSimple w:instr="PAGE">
      <w:r w:rsidR="007624FC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04C1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24FC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0CB7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C46F42-0358-EA4F-A544-854230655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968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2017-03-06T18:33:00Z</dcterms:created>
  <dcterms:modified xsi:type="dcterms:W3CDTF">2017-03-06T18:34:00Z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