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484049">
        <w:rPr>
          <w:b/>
          <w:sz w:val="24"/>
          <w:szCs w:val="24"/>
          <w:lang w:val="en-US"/>
        </w:rPr>
        <w:t>6</w:t>
      </w:r>
      <w:r w:rsidR="00C74DDC">
        <w:rPr>
          <w:b/>
          <w:sz w:val="24"/>
          <w:szCs w:val="24"/>
          <w:lang w:val="en-US"/>
        </w:rPr>
        <w:t xml:space="preserve"> (panel </w:t>
      </w:r>
      <w:r w:rsidR="00465E81">
        <w:rPr>
          <w:b/>
          <w:sz w:val="24"/>
          <w:szCs w:val="24"/>
          <w:lang w:val="en-US"/>
        </w:rPr>
        <w:t>C</w:t>
      </w:r>
      <w:r w:rsidR="00C74DDC">
        <w:rPr>
          <w:b/>
          <w:sz w:val="24"/>
          <w:szCs w:val="24"/>
          <w:lang w:val="en-US"/>
        </w:rPr>
        <w:t>)</w:t>
      </w:r>
    </w:p>
    <w:p w:rsidR="00492E88" w:rsidRDefault="00484049" w:rsidP="00484049">
      <w:r>
        <w:rPr>
          <w:sz w:val="24"/>
          <w:szCs w:val="24"/>
        </w:rPr>
        <w:t>R</w:t>
      </w:r>
      <w:r w:rsidRPr="008A20D0">
        <w:rPr>
          <w:sz w:val="24"/>
          <w:szCs w:val="24"/>
        </w:rPr>
        <w:t xml:space="preserve">elative frequency </w:t>
      </w:r>
      <w:r w:rsidRPr="00AF0979">
        <w:rPr>
          <w:i/>
          <w:sz w:val="24"/>
          <w:szCs w:val="24"/>
        </w:rPr>
        <w:t>Δt</w:t>
      </w:r>
      <w:r w:rsidRPr="008A20D0">
        <w:rPr>
          <w:sz w:val="24"/>
          <w:szCs w:val="24"/>
        </w:rPr>
        <w:t xml:space="preserve"> values; </w:t>
      </w:r>
      <w:r w:rsidRPr="00BD7EB3">
        <w:rPr>
          <w:i/>
          <w:sz w:val="24"/>
          <w:szCs w:val="24"/>
        </w:rPr>
        <w:t>Δt</w:t>
      </w:r>
      <w:r>
        <w:rPr>
          <w:sz w:val="24"/>
          <w:szCs w:val="24"/>
        </w:rPr>
        <w:t xml:space="preserve"> distribution expressed in percentage of relative dynamin duration.</w:t>
      </w:r>
    </w:p>
    <w:p w:rsidR="00D23B84" w:rsidRPr="00357581" w:rsidRDefault="00DB6882" w:rsidP="00733792">
      <w:pPr>
        <w:rPr>
          <w:b/>
          <w:u w:val="single"/>
        </w:rPr>
      </w:pPr>
      <w:r w:rsidRPr="00357581">
        <w:rPr>
          <w:b/>
          <w:u w:val="single"/>
        </w:rPr>
        <w:t>TKO cells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648"/>
        <w:gridCol w:w="2660"/>
        <w:gridCol w:w="1924"/>
        <w:gridCol w:w="3828"/>
      </w:tblGrid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484049" w:rsidP="00484049">
            <w:pPr>
              <w:jc w:val="center"/>
            </w:pP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rPr>
                <w:i/>
                <w:iCs/>
              </w:rPr>
              <w:t>t</w:t>
            </w:r>
            <w:r w:rsidRPr="00484049">
              <w:t>(dynab)-</w:t>
            </w:r>
            <w:r w:rsidRPr="00484049">
              <w:rPr>
                <w:i/>
                <w:iCs/>
              </w:rPr>
              <w:t>t</w:t>
            </w:r>
            <w:r w:rsidRPr="00484049">
              <w:t>(dyn1)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rPr>
                <w:i/>
                <w:iCs/>
              </w:rPr>
              <w:t>t</w:t>
            </w:r>
            <w:r w:rsidRPr="00484049">
              <w:t>(dynab)-</w:t>
            </w:r>
            <w:r w:rsidRPr="00484049">
              <w:rPr>
                <w:i/>
                <w:iCs/>
              </w:rPr>
              <w:t>t</w:t>
            </w:r>
            <w:r w:rsidRPr="00484049">
              <w:t>(dyn2)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rPr>
                <w:i/>
                <w:iCs/>
              </w:rPr>
              <w:t>t</w:t>
            </w:r>
            <w:r w:rsidRPr="00484049">
              <w:t>(dyn1_EGFP)-</w:t>
            </w:r>
            <w:r w:rsidRPr="00484049">
              <w:rPr>
                <w:i/>
                <w:iCs/>
              </w:rPr>
              <w:t>t</w:t>
            </w:r>
            <w:r w:rsidRPr="00484049">
              <w:t>(dyn1_mCherry)</w:t>
            </w:r>
          </w:p>
        </w:tc>
      </w:tr>
      <w:tr w:rsidR="00F15D93" w:rsidRPr="00484049" w:rsidTr="00484049">
        <w:trPr>
          <w:trHeight w:val="288"/>
        </w:trPr>
        <w:tc>
          <w:tcPr>
            <w:tcW w:w="1648" w:type="dxa"/>
            <w:noWrap/>
          </w:tcPr>
          <w:p w:rsidR="00F15D93" w:rsidRPr="00484049" w:rsidRDefault="00F15D93" w:rsidP="00484049">
            <w:pPr>
              <w:jc w:val="center"/>
            </w:pPr>
            <w:r>
              <w:t xml:space="preserve">Over </w:t>
            </w:r>
            <w:r w:rsidR="009D20FB">
              <w:t>-</w:t>
            </w:r>
            <w:r>
              <w:t>100%</w:t>
            </w:r>
          </w:p>
        </w:tc>
        <w:tc>
          <w:tcPr>
            <w:tcW w:w="2660" w:type="dxa"/>
            <w:noWrap/>
          </w:tcPr>
          <w:p w:rsidR="00F15D93" w:rsidRPr="000C7000" w:rsidRDefault="003D6959" w:rsidP="000C70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2.697841727</w:t>
            </w:r>
          </w:p>
        </w:tc>
        <w:tc>
          <w:tcPr>
            <w:tcW w:w="1924" w:type="dxa"/>
            <w:noWrap/>
          </w:tcPr>
          <w:p w:rsidR="00F15D93" w:rsidRPr="000C7000" w:rsidRDefault="003D6959" w:rsidP="000C7000">
            <w:pPr>
              <w:jc w:val="center"/>
              <w:rPr>
                <w:iCs/>
              </w:rPr>
            </w:pPr>
            <w:r w:rsidRPr="003D6959">
              <w:rPr>
                <w:iCs/>
              </w:rPr>
              <w:t>0.588928151</w:t>
            </w:r>
          </w:p>
        </w:tc>
        <w:tc>
          <w:tcPr>
            <w:tcW w:w="3828" w:type="dxa"/>
            <w:noWrap/>
          </w:tcPr>
          <w:p w:rsidR="00F15D93" w:rsidRPr="000C7000" w:rsidRDefault="003D6959" w:rsidP="000C7000">
            <w:pPr>
              <w:jc w:val="center"/>
              <w:rPr>
                <w:iCs/>
              </w:rPr>
            </w:pPr>
            <w:r w:rsidRPr="003D6959">
              <w:rPr>
                <w:iCs/>
              </w:rPr>
              <w:t>0.306748466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95-100%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0.1798561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85-95%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3.327338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0.8244994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0.4601227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75-85%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0.8093525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0.3533569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65-75%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1.348921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0.4711425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55-65%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1.708633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0.2355713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0.1533742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45-55%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1.528777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0.2355713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0.1533742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bookmarkStart w:id="0" w:name="_GoBack"/>
            <w:bookmarkEnd w:id="0"/>
            <w:r>
              <w:t>35-</w:t>
            </w:r>
            <w:r w:rsidR="00484049" w:rsidRPr="00484049">
              <w:t>45%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2.697842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1.413428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0.3067485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25-35%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4.406475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1.88457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1.07362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15-25%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6.92446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5.182568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2.760736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5-15%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15.55755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13.54535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10.27607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±5%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26.43885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41.22497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40.18405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5-15%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16.54676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17.43227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30.21472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15-25%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6.47482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7.773851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8.435583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25-35%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3.057554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3.180212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4.141104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35-45%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1.888489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1.648999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0.9202454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45-55%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1.618705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1.88457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0.4601227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55-65%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0.8992806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0.4711425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0.1533742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65-75%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0.7194245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0.8244994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0.3067485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75-85%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0.7194245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0.5889282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85-95%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0.4496403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0.1533742</w:t>
            </w:r>
          </w:p>
        </w:tc>
      </w:tr>
      <w:tr w:rsidR="00484049" w:rsidRPr="00484049" w:rsidTr="00484049">
        <w:trPr>
          <w:trHeight w:val="288"/>
        </w:trPr>
        <w:tc>
          <w:tcPr>
            <w:tcW w:w="1648" w:type="dxa"/>
            <w:noWrap/>
            <w:hideMark/>
          </w:tcPr>
          <w:p w:rsidR="00484049" w:rsidRPr="00484049" w:rsidRDefault="009D20FB" w:rsidP="00484049">
            <w:pPr>
              <w:jc w:val="center"/>
            </w:pPr>
            <w:r>
              <w:t>-</w:t>
            </w:r>
            <w:r w:rsidR="00484049" w:rsidRPr="00484049">
              <w:t>95-100%</w:t>
            </w:r>
          </w:p>
        </w:tc>
        <w:tc>
          <w:tcPr>
            <w:tcW w:w="2660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</w:t>
            </w:r>
          </w:p>
        </w:tc>
        <w:tc>
          <w:tcPr>
            <w:tcW w:w="1924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0.2355713</w:t>
            </w:r>
          </w:p>
        </w:tc>
        <w:tc>
          <w:tcPr>
            <w:tcW w:w="3828" w:type="dxa"/>
            <w:noWrap/>
            <w:hideMark/>
          </w:tcPr>
          <w:p w:rsidR="00484049" w:rsidRPr="00484049" w:rsidRDefault="00484049" w:rsidP="00484049">
            <w:pPr>
              <w:jc w:val="center"/>
            </w:pPr>
            <w:r w:rsidRPr="00484049">
              <w:t>0.1533742</w:t>
            </w:r>
          </w:p>
        </w:tc>
      </w:tr>
      <w:tr w:rsidR="00F15D93" w:rsidRPr="00484049" w:rsidTr="000C7000">
        <w:trPr>
          <w:trHeight w:val="332"/>
        </w:trPr>
        <w:tc>
          <w:tcPr>
            <w:tcW w:w="1648" w:type="dxa"/>
            <w:noWrap/>
          </w:tcPr>
          <w:p w:rsidR="00F15D93" w:rsidRPr="00484049" w:rsidRDefault="00F15D93" w:rsidP="00484049">
            <w:pPr>
              <w:jc w:val="center"/>
            </w:pPr>
            <w:r>
              <w:t>Over 100%</w:t>
            </w:r>
          </w:p>
        </w:tc>
        <w:tc>
          <w:tcPr>
            <w:tcW w:w="2660" w:type="dxa"/>
            <w:noWrap/>
          </w:tcPr>
          <w:p w:rsidR="00F15D93" w:rsidRPr="000C7000" w:rsidRDefault="003D6959" w:rsidP="000C70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1.528776978</w:t>
            </w:r>
          </w:p>
        </w:tc>
        <w:tc>
          <w:tcPr>
            <w:tcW w:w="1924" w:type="dxa"/>
            <w:noWrap/>
          </w:tcPr>
          <w:p w:rsidR="00F15D93" w:rsidRPr="003D6959" w:rsidRDefault="003D6959" w:rsidP="000C7000">
            <w:pPr>
              <w:jc w:val="center"/>
              <w:rPr>
                <w:rFonts w:ascii="Calibri" w:hAnsi="Calibri" w:cs="Calibri"/>
                <w:color w:val="000000"/>
              </w:rPr>
            </w:pPr>
            <w:r w:rsidRPr="003D6959">
              <w:rPr>
                <w:rFonts w:ascii="Calibri" w:hAnsi="Calibri" w:cs="Calibri"/>
                <w:color w:val="000000"/>
              </w:rPr>
              <w:t>1.413427562</w:t>
            </w:r>
          </w:p>
        </w:tc>
        <w:tc>
          <w:tcPr>
            <w:tcW w:w="3828" w:type="dxa"/>
            <w:noWrap/>
          </w:tcPr>
          <w:p w:rsidR="00F15D93" w:rsidRPr="003D6959" w:rsidRDefault="003D6959" w:rsidP="000C7000">
            <w:pPr>
              <w:jc w:val="center"/>
              <w:rPr>
                <w:rFonts w:ascii="Calibri" w:hAnsi="Calibri" w:cs="Calibri"/>
                <w:color w:val="000000"/>
              </w:rPr>
            </w:pPr>
            <w:r w:rsidRPr="003D6959">
              <w:rPr>
                <w:rFonts w:ascii="Calibri" w:hAnsi="Calibri" w:cs="Calibri"/>
                <w:color w:val="000000"/>
              </w:rPr>
              <w:t>1.380368098</w:t>
            </w:r>
          </w:p>
        </w:tc>
      </w:tr>
    </w:tbl>
    <w:p w:rsidR="00D23B84" w:rsidRDefault="00D23B84" w:rsidP="00733792"/>
    <w:p w:rsidR="00DB6882" w:rsidRPr="00357581" w:rsidRDefault="00DB6882" w:rsidP="00733792">
      <w:pPr>
        <w:rPr>
          <w:b/>
          <w:u w:val="single"/>
        </w:rPr>
      </w:pPr>
      <w:r w:rsidRPr="00357581">
        <w:rPr>
          <w:b/>
          <w:u w:val="single"/>
        </w:rPr>
        <w:t>HeLa cells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648"/>
        <w:gridCol w:w="2660"/>
        <w:gridCol w:w="1924"/>
        <w:gridCol w:w="3828"/>
      </w:tblGrid>
      <w:tr w:rsidR="00943690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43690" w:rsidRPr="00943690" w:rsidRDefault="00943690" w:rsidP="00943690">
            <w:pPr>
              <w:jc w:val="center"/>
            </w:pPr>
          </w:p>
        </w:tc>
        <w:tc>
          <w:tcPr>
            <w:tcW w:w="2660" w:type="dxa"/>
            <w:noWrap/>
            <w:hideMark/>
          </w:tcPr>
          <w:p w:rsidR="00943690" w:rsidRPr="00943690" w:rsidRDefault="00943690" w:rsidP="00943690">
            <w:pPr>
              <w:jc w:val="center"/>
            </w:pPr>
            <w:r w:rsidRPr="00943690">
              <w:rPr>
                <w:i/>
                <w:iCs/>
              </w:rPr>
              <w:t>t</w:t>
            </w:r>
            <w:r w:rsidRPr="00943690">
              <w:t>(dynab)-</w:t>
            </w:r>
            <w:r w:rsidRPr="00943690">
              <w:rPr>
                <w:i/>
                <w:iCs/>
              </w:rPr>
              <w:t>t</w:t>
            </w:r>
            <w:r w:rsidRPr="00943690">
              <w:t>(dyn1)</w:t>
            </w:r>
          </w:p>
        </w:tc>
        <w:tc>
          <w:tcPr>
            <w:tcW w:w="1924" w:type="dxa"/>
            <w:noWrap/>
            <w:hideMark/>
          </w:tcPr>
          <w:p w:rsidR="00943690" w:rsidRPr="00943690" w:rsidRDefault="00943690" w:rsidP="00943690">
            <w:pPr>
              <w:jc w:val="center"/>
            </w:pPr>
            <w:r w:rsidRPr="00943690">
              <w:rPr>
                <w:i/>
                <w:iCs/>
              </w:rPr>
              <w:t>t</w:t>
            </w:r>
            <w:r w:rsidRPr="00943690">
              <w:t>(dynab)-</w:t>
            </w:r>
            <w:r w:rsidRPr="00943690">
              <w:rPr>
                <w:i/>
                <w:iCs/>
              </w:rPr>
              <w:t>t</w:t>
            </w:r>
            <w:r w:rsidRPr="00943690">
              <w:t>(dyn2)</w:t>
            </w:r>
          </w:p>
        </w:tc>
        <w:tc>
          <w:tcPr>
            <w:tcW w:w="3828" w:type="dxa"/>
            <w:noWrap/>
            <w:hideMark/>
          </w:tcPr>
          <w:p w:rsidR="00943690" w:rsidRPr="00943690" w:rsidRDefault="00943690" w:rsidP="00943690">
            <w:pPr>
              <w:jc w:val="center"/>
            </w:pPr>
            <w:r w:rsidRPr="00943690">
              <w:rPr>
                <w:i/>
                <w:iCs/>
              </w:rPr>
              <w:t>t</w:t>
            </w:r>
            <w:r w:rsidRPr="00943690">
              <w:t>(dyn1_EGFP)-</w:t>
            </w:r>
            <w:r w:rsidRPr="00943690">
              <w:rPr>
                <w:i/>
                <w:iCs/>
              </w:rPr>
              <w:t>t</w:t>
            </w:r>
            <w:r w:rsidRPr="00943690">
              <w:t>(dyn1_mCherry)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</w:tcPr>
          <w:p w:rsidR="009D20FB" w:rsidRPr="00484049" w:rsidRDefault="009D20FB" w:rsidP="009D20FB">
            <w:pPr>
              <w:jc w:val="center"/>
            </w:pPr>
            <w:r>
              <w:t>Over -100%</w:t>
            </w:r>
          </w:p>
        </w:tc>
        <w:tc>
          <w:tcPr>
            <w:tcW w:w="2660" w:type="dxa"/>
            <w:noWrap/>
          </w:tcPr>
          <w:p w:rsidR="009D20FB" w:rsidRPr="00F15D93" w:rsidRDefault="009D20FB" w:rsidP="009D20FB">
            <w:pPr>
              <w:jc w:val="center"/>
              <w:rPr>
                <w:rFonts w:ascii="Calibri" w:hAnsi="Calibri" w:cs="Calibri"/>
                <w:color w:val="000000"/>
              </w:rPr>
            </w:pPr>
            <w:r w:rsidRPr="00F15D93">
              <w:rPr>
                <w:rFonts w:ascii="Calibri" w:hAnsi="Calibri" w:cs="Calibri"/>
                <w:color w:val="000000"/>
              </w:rPr>
              <w:t>3.402646503</w:t>
            </w:r>
          </w:p>
        </w:tc>
        <w:tc>
          <w:tcPr>
            <w:tcW w:w="1924" w:type="dxa"/>
            <w:noWrap/>
          </w:tcPr>
          <w:p w:rsidR="009D20FB" w:rsidRPr="00F15D93" w:rsidRDefault="009D20FB" w:rsidP="009D20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0.980392157</w:t>
            </w:r>
          </w:p>
        </w:tc>
        <w:tc>
          <w:tcPr>
            <w:tcW w:w="3828" w:type="dxa"/>
            <w:noWrap/>
          </w:tcPr>
          <w:p w:rsidR="009D20FB" w:rsidRPr="00F15D93" w:rsidRDefault="009D20FB" w:rsidP="009D20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0.642398287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95-100%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0.3780718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85-95%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5.293006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1.372549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0.6423983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75-85%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0.9451796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0.1960784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65-75%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1.512287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0.5882353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0.2141328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55-65%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1.701323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0.5882353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0.2141328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45-55%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2.268431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1.960784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0.4282655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35</w:t>
            </w:r>
            <w:r>
              <w:t>-</w:t>
            </w:r>
            <w:r w:rsidRPr="00484049">
              <w:t>45%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3.591682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2.745098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0.2141328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25-35%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5.293006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3.529412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1.284797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15-25%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5.10397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6.27451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3.640257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5-15%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12.28733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14.31373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14.13276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 w:rsidRPr="00484049">
              <w:t>±5%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18.90359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33.72549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40.04283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5-15%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15.87902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16.66667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25.69593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15-25%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8.884688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8.039216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7.280514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25-35%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3.969754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2.745098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2.35546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lastRenderedPageBreak/>
              <w:t>-</w:t>
            </w:r>
            <w:r w:rsidRPr="00484049">
              <w:t>35-45%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2.835539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2.745098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1.713062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45-55%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1.701323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1.568628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55-65%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1.512287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0.9803922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0.6423983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65-75%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0.5671077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0.1960784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75-85%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1.701323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0.1960784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0.6423983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85-95%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0.3921569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0.2141328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  <w:hideMark/>
          </w:tcPr>
          <w:p w:rsidR="009D20FB" w:rsidRPr="00484049" w:rsidRDefault="009D20FB" w:rsidP="009D20FB">
            <w:pPr>
              <w:jc w:val="center"/>
            </w:pPr>
            <w:r>
              <w:t>-</w:t>
            </w:r>
            <w:r w:rsidRPr="00484049">
              <w:t>95-100%</w:t>
            </w:r>
          </w:p>
        </w:tc>
        <w:tc>
          <w:tcPr>
            <w:tcW w:w="2660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  <w:tc>
          <w:tcPr>
            <w:tcW w:w="1924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0.1960784</w:t>
            </w:r>
          </w:p>
        </w:tc>
        <w:tc>
          <w:tcPr>
            <w:tcW w:w="3828" w:type="dxa"/>
            <w:noWrap/>
            <w:hideMark/>
          </w:tcPr>
          <w:p w:rsidR="009D20FB" w:rsidRPr="00943690" w:rsidRDefault="009D20FB" w:rsidP="009D20FB">
            <w:pPr>
              <w:jc w:val="center"/>
            </w:pPr>
            <w:r w:rsidRPr="00943690">
              <w:t>0</w:t>
            </w:r>
          </w:p>
        </w:tc>
      </w:tr>
      <w:tr w:rsidR="009D20FB" w:rsidRPr="00943690" w:rsidTr="00943690">
        <w:trPr>
          <w:trHeight w:val="288"/>
        </w:trPr>
        <w:tc>
          <w:tcPr>
            <w:tcW w:w="1648" w:type="dxa"/>
            <w:noWrap/>
          </w:tcPr>
          <w:p w:rsidR="009D20FB" w:rsidRPr="00484049" w:rsidRDefault="009D20FB" w:rsidP="009D20FB">
            <w:pPr>
              <w:jc w:val="center"/>
            </w:pPr>
            <w:r>
              <w:t>Over 100%</w:t>
            </w:r>
          </w:p>
        </w:tc>
        <w:tc>
          <w:tcPr>
            <w:tcW w:w="2660" w:type="dxa"/>
            <w:noWrap/>
          </w:tcPr>
          <w:p w:rsidR="009D20FB" w:rsidRPr="00943690" w:rsidRDefault="009D20FB" w:rsidP="009D20FB">
            <w:pPr>
              <w:jc w:val="center"/>
            </w:pPr>
            <w:r w:rsidRPr="00F15D93">
              <w:t>2.268431002</w:t>
            </w:r>
          </w:p>
        </w:tc>
        <w:tc>
          <w:tcPr>
            <w:tcW w:w="1924" w:type="dxa"/>
            <w:noWrap/>
          </w:tcPr>
          <w:p w:rsidR="009D20FB" w:rsidRPr="00F15D93" w:rsidRDefault="009D20FB" w:rsidP="009D20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1.37254902</w:t>
            </w:r>
          </w:p>
        </w:tc>
        <w:tc>
          <w:tcPr>
            <w:tcW w:w="3828" w:type="dxa"/>
            <w:noWrap/>
          </w:tcPr>
          <w:p w:rsidR="009D20FB" w:rsidRPr="00F15D93" w:rsidRDefault="009D20FB" w:rsidP="009D20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0.642398287</w:t>
            </w:r>
          </w:p>
        </w:tc>
      </w:tr>
    </w:tbl>
    <w:p w:rsidR="00DB6882" w:rsidRPr="00465E81" w:rsidRDefault="00DB6882" w:rsidP="00733792"/>
    <w:sectPr w:rsidR="00DB6882" w:rsidRPr="00465E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0C7000"/>
    <w:rsid w:val="001F1638"/>
    <w:rsid w:val="00237C1D"/>
    <w:rsid w:val="0027168E"/>
    <w:rsid w:val="002D14C5"/>
    <w:rsid w:val="002D49B4"/>
    <w:rsid w:val="00340213"/>
    <w:rsid w:val="00357581"/>
    <w:rsid w:val="003C2F4A"/>
    <w:rsid w:val="003D6959"/>
    <w:rsid w:val="00465E81"/>
    <w:rsid w:val="00484049"/>
    <w:rsid w:val="00492E88"/>
    <w:rsid w:val="004D26D3"/>
    <w:rsid w:val="004F7EAF"/>
    <w:rsid w:val="00511CF0"/>
    <w:rsid w:val="00596F5E"/>
    <w:rsid w:val="005D1A8D"/>
    <w:rsid w:val="005D1E67"/>
    <w:rsid w:val="006054A7"/>
    <w:rsid w:val="00702107"/>
    <w:rsid w:val="00733792"/>
    <w:rsid w:val="007A2DCF"/>
    <w:rsid w:val="007D6776"/>
    <w:rsid w:val="00824FBC"/>
    <w:rsid w:val="008E36CC"/>
    <w:rsid w:val="00943690"/>
    <w:rsid w:val="00955F74"/>
    <w:rsid w:val="009C289F"/>
    <w:rsid w:val="009D20FB"/>
    <w:rsid w:val="00A95679"/>
    <w:rsid w:val="00C711CD"/>
    <w:rsid w:val="00C74DDC"/>
    <w:rsid w:val="00CA77CF"/>
    <w:rsid w:val="00D23B84"/>
    <w:rsid w:val="00D77C80"/>
    <w:rsid w:val="00DB6882"/>
    <w:rsid w:val="00E35FD9"/>
    <w:rsid w:val="00E70A1C"/>
    <w:rsid w:val="00EA193C"/>
    <w:rsid w:val="00EB4AF3"/>
    <w:rsid w:val="00EE0AD3"/>
    <w:rsid w:val="00F15D93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903E8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44</cp:revision>
  <cp:lastPrinted>2017-02-03T13:19:00Z</cp:lastPrinted>
  <dcterms:created xsi:type="dcterms:W3CDTF">2017-02-03T10:44:00Z</dcterms:created>
  <dcterms:modified xsi:type="dcterms:W3CDTF">2017-02-06T12:39:00Z</dcterms:modified>
</cp:coreProperties>
</file>