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adjustRightInd w:val="0"/>
        <w:snapToGrid w:val="0"/>
        <w:spacing w:line="480" w:lineRule="auto"/>
        <w:rPr>
          <w:rFonts w:hint="default" w:ascii="Times New Roman" w:hAnsi="Times New Roman" w:cs="Times New Roman"/>
          <w:bCs/>
          <w:highlight w:val="none"/>
        </w:rPr>
      </w:pPr>
      <w:bookmarkStart w:id="0" w:name="OLE_LINK2"/>
      <w:bookmarkStart w:id="1" w:name="OLE_LINK4"/>
      <w:bookmarkStart w:id="2" w:name="OLE_LINK8"/>
      <w:r>
        <w:rPr>
          <w:rFonts w:hint="default" w:ascii="Times New Roman" w:hAnsi="Times New Roman" w:eastAsia="Times New Roman" w:cs="Times New Roman"/>
          <w:b/>
          <w:bCs/>
          <w:color w:val="000000"/>
          <w:kern w:val="2"/>
          <w:highlight w:val="none"/>
          <w:shd w:val="clear" w:color="auto" w:fill="FFFFFF"/>
        </w:rPr>
        <w:t>Supplementary file</w:t>
      </w:r>
      <w:bookmarkEnd w:id="0"/>
      <w:r>
        <w:rPr>
          <w:rFonts w:hint="default" w:ascii="Times New Roman" w:hAnsi="Times New Roman" w:cs="Times New Roman"/>
          <w:b/>
          <w:bCs/>
          <w:color w:val="000000"/>
          <w:kern w:val="2"/>
          <w:highlight w:val="none"/>
          <w:shd w:val="clear" w:color="auto" w:fill="FFFFFF"/>
          <w:lang w:val="en-US" w:eastAsia="zh-CN"/>
        </w:rPr>
        <w:t xml:space="preserve"> </w:t>
      </w:r>
      <w:bookmarkEnd w:id="1"/>
      <w:r>
        <w:rPr>
          <w:rFonts w:hint="eastAsia" w:ascii="Times New Roman" w:hAnsi="Times New Roman" w:cs="Times New Roman"/>
          <w:b/>
          <w:bCs/>
          <w:color w:val="000000"/>
          <w:kern w:val="2"/>
          <w:highlight w:val="none"/>
          <w:shd w:val="clear" w:color="auto" w:fill="FFFFFF"/>
          <w:lang w:val="en-US" w:eastAsia="zh-CN"/>
        </w:rPr>
        <w:t>1</w:t>
      </w:r>
      <w:bookmarkStart w:id="4" w:name="_GoBack"/>
      <w:bookmarkEnd w:id="4"/>
      <w:r>
        <w:rPr>
          <w:rFonts w:hint="default" w:ascii="Times New Roman" w:hAnsi="Times New Roman" w:cs="Times New Roman"/>
          <w:b/>
          <w:highlight w:val="none"/>
        </w:rPr>
        <w:t xml:space="preserve">. </w:t>
      </w:r>
      <w:bookmarkStart w:id="3" w:name="OLE_LINK109"/>
      <w:r>
        <w:rPr>
          <w:rFonts w:hint="default" w:ascii="Times New Roman" w:hAnsi="Times New Roman" w:cs="Times New Roman"/>
          <w:bCs/>
          <w:highlight w:val="none"/>
        </w:rPr>
        <w:t>Summary of the 2b-RAD sequencing analysis</w:t>
      </w:r>
      <w:bookmarkEnd w:id="3"/>
    </w:p>
    <w:tbl>
      <w:tblPr>
        <w:tblStyle w:val="5"/>
        <w:tblW w:w="77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1321"/>
        <w:gridCol w:w="1780"/>
        <w:gridCol w:w="1761"/>
        <w:gridCol w:w="1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362" w:type="dxa"/>
            <w:tcBorders>
              <w:left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Style w:val="4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</w:pPr>
            <w:r>
              <w:rPr>
                <w:rStyle w:val="4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  <w:t>Samples</w:t>
            </w:r>
          </w:p>
        </w:tc>
        <w:tc>
          <w:tcPr>
            <w:tcW w:w="1321" w:type="dxa"/>
            <w:tcBorders>
              <w:left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Style w:val="4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</w:pPr>
            <w:r>
              <w:rPr>
                <w:rStyle w:val="4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  <w:t>Raw reads</w:t>
            </w:r>
          </w:p>
        </w:tc>
        <w:tc>
          <w:tcPr>
            <w:tcW w:w="1780" w:type="dxa"/>
            <w:tcBorders>
              <w:left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Style w:val="4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</w:pPr>
            <w:r>
              <w:rPr>
                <w:rStyle w:val="4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  <w:t>Processed reads</w:t>
            </w:r>
            <w:r>
              <w:rPr>
                <w:rStyle w:val="4"/>
                <w:rFonts w:hint="eastAsia" w:ascii="Times New Roman" w:hAnsi="Times New Roman" w:cs="Times New Roman"/>
                <w:b/>
                <w:bCs/>
                <w:i w:val="0"/>
                <w:iCs w:val="0"/>
                <w:highlight w:val="none"/>
                <w:lang w:val="en-US" w:eastAsia="zh-CN"/>
              </w:rPr>
              <w:t xml:space="preserve"> </w:t>
            </w:r>
            <w:r>
              <w:rPr>
                <w:rStyle w:val="4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  <w:vertAlign w:val="superscript"/>
              </w:rPr>
              <w:t>a</w:t>
            </w:r>
          </w:p>
        </w:tc>
        <w:tc>
          <w:tcPr>
            <w:tcW w:w="1761" w:type="dxa"/>
            <w:tcBorders>
              <w:left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Style w:val="4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</w:pPr>
            <w:r>
              <w:rPr>
                <w:rStyle w:val="4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  <w:t>Ratios of</w:t>
            </w:r>
          </w:p>
          <w:p>
            <w:pPr>
              <w:adjustRightInd w:val="0"/>
              <w:snapToGrid w:val="0"/>
              <w:spacing w:line="480" w:lineRule="auto"/>
              <w:jc w:val="center"/>
              <w:rPr>
                <w:rStyle w:val="4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</w:pPr>
            <w:r>
              <w:rPr>
                <w:rStyle w:val="4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  <w:t>processed reads</w:t>
            </w:r>
          </w:p>
        </w:tc>
        <w:tc>
          <w:tcPr>
            <w:tcW w:w="1557" w:type="dxa"/>
            <w:tcBorders>
              <w:left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Style w:val="4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</w:pPr>
            <w:r>
              <w:rPr>
                <w:rStyle w:val="4"/>
                <w:rFonts w:hint="default" w:ascii="Times New Roman" w:hAnsi="Times New Roman" w:cs="Times New Roman"/>
                <w:b/>
                <w:bCs/>
                <w:i w:val="0"/>
                <w:iCs w:val="0"/>
                <w:highlight w:val="none"/>
              </w:rPr>
              <w:t>RAD-tag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26</w:t>
            </w:r>
          </w:p>
        </w:tc>
        <w:tc>
          <w:tcPr>
            <w:tcW w:w="1321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7,884,253</w:t>
            </w:r>
          </w:p>
        </w:tc>
        <w:tc>
          <w:tcPr>
            <w:tcW w:w="17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7,508,035</w:t>
            </w:r>
          </w:p>
        </w:tc>
        <w:tc>
          <w:tcPr>
            <w:tcW w:w="1761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95.2%</w:t>
            </w:r>
          </w:p>
        </w:tc>
        <w:tc>
          <w:tcPr>
            <w:tcW w:w="1557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379,554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B08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8,229,307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7,684,923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93.4%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441,317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T113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7,962,281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6,912,344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86.8%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462,545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T114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6,238,969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5,653,180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90.6%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422,344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T115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9,012,397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8,184,358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90.8%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470,561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T116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9,262,722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7,907,662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85.4%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486,805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T117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9,522,242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8,658,077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90.9%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468,860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8,435,825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8,059,891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95.5%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399,670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53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8,908,285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8,119,131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91.1%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default" w:ascii="Times New Roman" w:hAnsi="Times New Roman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highlight w:val="none"/>
              </w:rPr>
              <w:t>446,597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T001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8,580,073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8,224,607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95.9%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389,640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T002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7,653,448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7,305,756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95.5%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387,434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T003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6,517,954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6,209,811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95.3%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385,387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T004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7,462,540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7,126,924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95.5%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389,315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T005</w:t>
            </w:r>
          </w:p>
        </w:tc>
        <w:tc>
          <w:tcPr>
            <w:tcW w:w="1321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7,023,051</w:t>
            </w:r>
          </w:p>
        </w:tc>
        <w:tc>
          <w:tcPr>
            <w:tcW w:w="1780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6,644,289</w:t>
            </w:r>
          </w:p>
        </w:tc>
        <w:tc>
          <w:tcPr>
            <w:tcW w:w="1761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94.6%</w:t>
            </w:r>
          </w:p>
        </w:tc>
        <w:tc>
          <w:tcPr>
            <w:tcW w:w="1557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beforeAutospacing="0" w:after="0" w:afterAutospacing="0" w:line="48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402,145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cs="Times New Roman"/>
          <w:b/>
          <w:bCs/>
          <w:color w:val="000000"/>
          <w:kern w:val="2"/>
          <w:highlight w:val="none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Times New Roman" w:cs="Times New Roman"/>
          <w:b w:val="0"/>
          <w:bCs w:val="0"/>
          <w:kern w:val="36"/>
          <w:sz w:val="22"/>
          <w:szCs w:val="22"/>
          <w:highlight w:val="none"/>
          <w:vertAlign w:val="superscript"/>
        </w:rPr>
        <w:t>a</w:t>
      </w:r>
      <w:r>
        <w:rPr>
          <w:rFonts w:hint="default" w:ascii="Times New Roman" w:hAnsi="Times New Roman" w:cs="Times New Roman"/>
          <w:b w:val="0"/>
          <w:bCs w:val="0"/>
          <w:kern w:val="36"/>
          <w:sz w:val="22"/>
          <w:szCs w:val="22"/>
          <w:highlight w:val="none"/>
          <w:vertAlign w:val="superscript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kern w:val="36"/>
          <w:sz w:val="22"/>
          <w:szCs w:val="22"/>
          <w:highlight w:val="none"/>
        </w:rPr>
        <w:t xml:space="preserve">Reads were </w:t>
      </w:r>
      <w:r>
        <w:rPr>
          <w:rFonts w:hint="default" w:ascii="Times New Roman" w:hAnsi="Times New Roman" w:cs="Times New Roman"/>
          <w:b w:val="0"/>
          <w:bCs w:val="0"/>
          <w:kern w:val="36"/>
          <w:sz w:val="22"/>
          <w:szCs w:val="22"/>
          <w:highlight w:val="none"/>
        </w:rPr>
        <w:t>filtere</w:t>
      </w:r>
      <w:r>
        <w:rPr>
          <w:rFonts w:hint="default" w:ascii="Times New Roman" w:hAnsi="Times New Roman" w:eastAsia="Times New Roman" w:cs="Times New Roman"/>
          <w:b w:val="0"/>
          <w:bCs w:val="0"/>
          <w:kern w:val="36"/>
          <w:sz w:val="22"/>
          <w:szCs w:val="22"/>
          <w:highlight w:val="none"/>
        </w:rPr>
        <w:t>d using the following thresholds: reads without restriction sites, reads containing long homo-polymers (more than 10 bp) or ambiguous bases (N) and reads with many low-quality bases (more than 10 positions with quality rated less than 20).</w:t>
      </w:r>
    </w:p>
    <w:bookmarkEnd w:id="2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roman"/>
    <w:pitch w:val="default"/>
    <w:sig w:usb0="E00002FF" w:usb1="6AC7FDFB" w:usb2="08000012" w:usb3="00000000" w:csb0="4002009F" w:csb1="DFD7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CB0E68"/>
    <w:rsid w:val="0E7127EE"/>
    <w:rsid w:val="37FF148F"/>
    <w:rsid w:val="53CB0E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 w:val="0"/>
      <w:spacing w:before="100" w:beforeAutospacing="1" w:after="100" w:afterAutospacing="1"/>
      <w:jc w:val="left"/>
    </w:pPr>
    <w:rPr>
      <w:rFonts w:cs="Times New Roman"/>
      <w:sz w:val="24"/>
      <w:szCs w:val="24"/>
    </w:rPr>
  </w:style>
  <w:style w:type="character" w:styleId="4">
    <w:name w:val="Emphasis"/>
    <w:basedOn w:val="3"/>
    <w:qFormat/>
    <w:uiPriority w:val="0"/>
    <w:rPr>
      <w:i/>
      <w:i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2017-06-12T03:13:00Z</dcterms:created>
  <dc:creator>CCW</dc:creator>
  <cp:lastModifiedBy>CCW</cp:lastModifiedBy>
  <dcterms:modified xsi:type="dcterms:W3CDTF">2017-06-12T04:49:17Z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