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 w:val="0"/>
        <w:spacing w:line="480" w:lineRule="auto"/>
        <w:rPr>
          <w:rFonts w:hint="default" w:ascii="Times New Roman" w:hAnsi="Times New Roman" w:cs="Times New Roman"/>
          <w:bCs/>
          <w:highlight w:val="none"/>
        </w:rPr>
      </w:pPr>
      <w:bookmarkStart w:id="0" w:name="OLE_LINK9"/>
      <w:r>
        <w:rPr>
          <w:rFonts w:hint="default" w:ascii="Times New Roman" w:hAnsi="Times New Roman" w:cs="Times New Roman"/>
          <w:b/>
          <w:highlight w:val="none"/>
        </w:rPr>
        <w:t>Supplementary file</w:t>
      </w:r>
      <w:r>
        <w:rPr>
          <w:rFonts w:hint="eastAsia" w:ascii="Times New Roman" w:hAnsi="Times New Roman" w:cs="Times New Roman"/>
          <w:b/>
          <w:highlight w:val="none"/>
          <w:lang w:val="en-US" w:eastAsia="zh-CN"/>
        </w:rPr>
        <w:t xml:space="preserve"> 2</w:t>
      </w:r>
      <w:bookmarkStart w:id="2" w:name="_GoBack"/>
      <w:bookmarkEnd w:id="2"/>
      <w:r>
        <w:rPr>
          <w:rFonts w:hint="default" w:ascii="Times New Roman" w:hAnsi="Times New Roman" w:cs="Times New Roman"/>
          <w:b/>
          <w:highlight w:val="none"/>
        </w:rPr>
        <w:t xml:space="preserve">. </w:t>
      </w:r>
      <w:bookmarkStart w:id="1" w:name="OLE_LINK118"/>
      <w:r>
        <w:rPr>
          <w:rFonts w:hint="default" w:ascii="Times New Roman" w:hAnsi="Times New Roman" w:cs="Times New Roman"/>
          <w:bCs/>
          <w:highlight w:val="none"/>
        </w:rPr>
        <w:t>Summary of the sequenced ENU-induced mutations in two families</w:t>
      </w:r>
      <w:bookmarkEnd w:id="1"/>
    </w:p>
    <w:tbl>
      <w:tblPr>
        <w:tblStyle w:val="6"/>
        <w:tblpPr w:leftFromText="180" w:rightFromText="180" w:vertAnchor="text" w:horzAnchor="page" w:tblpX="1624" w:tblpY="199"/>
        <w:tblOverlap w:val="never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075"/>
        <w:gridCol w:w="1154"/>
        <w:gridCol w:w="714"/>
        <w:gridCol w:w="1212"/>
        <w:gridCol w:w="1269"/>
        <w:gridCol w:w="132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28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Family</w:t>
            </w:r>
          </w:p>
        </w:tc>
        <w:tc>
          <w:tcPr>
            <w:tcW w:w="1075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Pig ID</w:t>
            </w:r>
          </w:p>
        </w:tc>
        <w:tc>
          <w:tcPr>
            <w:tcW w:w="1154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ENU dose</w:t>
            </w:r>
          </w:p>
        </w:tc>
        <w:tc>
          <w:tcPr>
            <w:tcW w:w="714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G1</w:t>
            </w:r>
          </w:p>
        </w:tc>
        <w:tc>
          <w:tcPr>
            <w:tcW w:w="1212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Sites</w:t>
            </w: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  <w:vertAlign w:val="superscript"/>
              </w:rPr>
              <w:t>a</w:t>
            </w: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 xml:space="preserve"> (bp)</w:t>
            </w:r>
          </w:p>
        </w:tc>
        <w:tc>
          <w:tcPr>
            <w:tcW w:w="1269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Mutations</w:t>
            </w: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  <w:vertAlign w:val="superscript"/>
              </w:rPr>
              <w:t>b</w:t>
            </w:r>
          </w:p>
        </w:tc>
        <w:tc>
          <w:tcPr>
            <w:tcW w:w="1326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Frequency</w:t>
            </w: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  <w:vertAlign w:val="superscript"/>
              </w:rPr>
              <w:t>c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Average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2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  <w:t>Family 1</w:t>
            </w:r>
          </w:p>
        </w:tc>
        <w:tc>
          <w:tcPr>
            <w:tcW w:w="1075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Boar: 26</w:t>
            </w:r>
          </w:p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Sow: B08</w:t>
            </w:r>
          </w:p>
        </w:tc>
        <w:tc>
          <w:tcPr>
            <w:tcW w:w="115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65 mg/kg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T113</w:t>
            </w:r>
          </w:p>
        </w:tc>
        <w:tc>
          <w:tcPr>
            <w:tcW w:w="121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4047197</w:t>
            </w:r>
          </w:p>
        </w:tc>
        <w:tc>
          <w:tcPr>
            <w:tcW w:w="1269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326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2.22E-06</w:t>
            </w:r>
          </w:p>
        </w:tc>
        <w:tc>
          <w:tcPr>
            <w:tcW w:w="1066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1.63E-06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3548561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2.23E-06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4315382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1.16E-06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4234604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1.18E-06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T117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4474832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1.34E-06</w:t>
            </w:r>
          </w:p>
        </w:tc>
        <w:tc>
          <w:tcPr>
            <w:tcW w:w="106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  <w:t>Family 2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Boar: 6</w:t>
            </w:r>
          </w:p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Sow: B53</w:t>
            </w:r>
          </w:p>
        </w:tc>
        <w:tc>
          <w:tcPr>
            <w:tcW w:w="1154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85 mg/kg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T001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4122798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3.15E-06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5.86E-06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4547486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38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8.36E-06</w:t>
            </w:r>
          </w:p>
        </w:tc>
        <w:tc>
          <w:tcPr>
            <w:tcW w:w="1066" w:type="dxa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4363692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23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5.27E-06</w:t>
            </w:r>
          </w:p>
        </w:tc>
        <w:tc>
          <w:tcPr>
            <w:tcW w:w="1066" w:type="dxa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4044881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7.66E-06</w:t>
            </w:r>
          </w:p>
        </w:tc>
        <w:tc>
          <w:tcPr>
            <w:tcW w:w="1066" w:type="dxa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Merge w:val="continue"/>
            <w:tcBorders>
              <w:top w:val="nil"/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T005</w:t>
            </w:r>
          </w:p>
        </w:tc>
        <w:tc>
          <w:tcPr>
            <w:tcW w:w="121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4317205</w:t>
            </w:r>
          </w:p>
        </w:tc>
        <w:tc>
          <w:tcPr>
            <w:tcW w:w="1269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3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4.86E-06</w:t>
            </w:r>
          </w:p>
        </w:tc>
        <w:tc>
          <w:tcPr>
            <w:tcW w:w="1066" w:type="dxa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rPr>
                <w:rStyle w:val="5"/>
                <w:rFonts w:hint="default" w:ascii="Times New Roman" w:hAnsi="Times New Roman" w:cs="Times New Roman"/>
                <w:i w:val="0"/>
                <w:iCs w:val="0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shd w:val="clear" w:color="auto" w:fill="auto"/>
        <w:adjustRightInd w:val="0"/>
        <w:snapToGrid w:val="0"/>
        <w:spacing w:before="156" w:beforeLines="50" w:after="0" w:line="480" w:lineRule="auto"/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>a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>To screen the ENU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</w:rPr>
        <w:t>-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>induced mutations, ten trios (father-mother-child) were analyzed. Based on the 2b-RAD sequencing data, genomic sites covered by at least 10 reads in any member of the trio were recorded and could be used for subsequent analysis.</w:t>
      </w:r>
    </w:p>
    <w:p>
      <w:pPr>
        <w:pStyle w:val="2"/>
        <w:keepNext w:val="0"/>
        <w:keepLines w:val="0"/>
        <w:shd w:val="clear" w:color="auto" w:fill="auto"/>
        <w:adjustRightInd w:val="0"/>
        <w:snapToGrid w:val="0"/>
        <w:spacing w:before="0" w:after="0" w:line="480" w:lineRule="auto"/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>b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>ENU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</w:rPr>
        <w:t>-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 xml:space="preserve">induced mutations were analyzed using DeNovoGear software. </w:t>
      </w:r>
    </w:p>
    <w:p>
      <w:pPr>
        <w:pStyle w:val="2"/>
        <w:keepNext w:val="0"/>
        <w:keepLines w:val="0"/>
        <w:shd w:val="clear" w:color="auto" w:fill="auto"/>
        <w:adjustRightInd w:val="0"/>
        <w:snapToGrid w:val="0"/>
        <w:spacing w:before="0" w:after="0" w:line="480" w:lineRule="auto"/>
        <w:rPr>
          <w:rStyle w:val="5"/>
          <w:rFonts w:hint="default"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>c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>Frequency = mutations/sites.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F545D"/>
    <w:rsid w:val="37FF148F"/>
    <w:rsid w:val="51153F7B"/>
    <w:rsid w:val="55C319B6"/>
    <w:rsid w:val="60510C82"/>
    <w:rsid w:val="7D8F54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 w:val="0"/>
      <w:spacing w:before="100" w:beforeAutospacing="1" w:after="100" w:afterAutospacing="1"/>
      <w:jc w:val="left"/>
    </w:pPr>
    <w:rPr>
      <w:rFonts w:cs="Times New Roman"/>
      <w:sz w:val="24"/>
      <w:szCs w:val="24"/>
    </w:rPr>
  </w:style>
  <w:style w:type="character" w:styleId="5">
    <w:name w:val="Emphasis"/>
    <w:basedOn w:val="4"/>
    <w:qFormat/>
    <w:uiPriority w:val="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2017-06-12T03:15:00Z</dcterms:created>
  <dc:creator>CCW</dc:creator>
  <cp:lastModifiedBy>CCW</cp:lastModifiedBy>
  <dcterms:modified xsi:type="dcterms:W3CDTF">2017-06-12T04:49:26Z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