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Lienhypertexte"/>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Paragraphedeliste"/>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Paragraphedeliste"/>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Paragraphedeliste"/>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bookmarkStart w:id="0" w:name="_GoBack"/>
      <w:bookmarkEnd w:id="0"/>
    </w:p>
    <w:p w14:paraId="283305D7" w14:textId="6CC2209A" w:rsidR="00877644" w:rsidRPr="00125190" w:rsidRDefault="00C7192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explicit the power analysis in our experiments. We </w:t>
      </w:r>
      <w:r w:rsidR="00154BCC">
        <w:rPr>
          <w:rFonts w:asciiTheme="minorHAnsi" w:hAnsiTheme="minorHAnsi"/>
        </w:rPr>
        <w:t xml:space="preserve">used as a general rule at least five biological replicates in all experiments except in figure 6B, which is the common practice when live animals are used. </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Paragraphedeliste"/>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Paragraphedeliste"/>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Paragraphedeliste"/>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Paragraphedeliste"/>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Paragraphedeliste"/>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Paragraphedeliste"/>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7B691353" w:rsidR="00B330BD" w:rsidRPr="00125190" w:rsidRDefault="00C7192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biological replicates and independent experiments is given for each figure panel in the figure legends. We did not perform technical replicates throughout the manuscript. No outliers were discarded. There are no high-throughput sequence data in the manuscript. </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Paragraphedeliste"/>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Paragraphedeliste"/>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Paragraphedeliste"/>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Paragraphedeliste"/>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67E63216" w:rsidR="00C52A77" w:rsidRPr="00125190" w:rsidRDefault="00C71922"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statistical methods are detailed both in the “Material and Methods” section and in the figure legends. We did not report the exact p-values. However, we reported the range of p-values with the classical representation based on the number of stars on the comparison (</w:t>
      </w:r>
      <w:r w:rsidRPr="001F4DD0">
        <w:rPr>
          <w:rFonts w:ascii="Helvetica" w:hAnsi="Helvetica"/>
          <w:lang w:bidi="en-US"/>
        </w:rPr>
        <w:t>*p&lt;0.05, **p&lt;0.01, ***p&lt;0.001</w:t>
      </w:r>
      <w:r>
        <w:rPr>
          <w:rFonts w:ascii="Helvetica" w:hAnsi="Helvetica"/>
          <w:lang w:bidi="en-US"/>
        </w:rPr>
        <w:t>)</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Paragraphedeliste"/>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Paragraphedeliste"/>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Paragraphedeliste"/>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Paragraphedeliste"/>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Paragraphedeliste"/>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051C69C3" w:rsidR="00C52A77" w:rsidRPr="00125190" w:rsidRDefault="00C7192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Not applicable to our manuscript. </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C71922" w:rsidRDefault="00C71922" w:rsidP="004215FE">
      <w:r>
        <w:separator/>
      </w:r>
    </w:p>
  </w:endnote>
  <w:endnote w:type="continuationSeparator" w:id="0">
    <w:p w14:paraId="65BC2F8D" w14:textId="77777777" w:rsidR="00C71922" w:rsidRDefault="00C7192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C71922" w:rsidRDefault="00C71922"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C71922" w:rsidRDefault="00C71922"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C71922" w:rsidRDefault="00C71922">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C71922" w:rsidRPr="0009520A" w:rsidRDefault="00C71922"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154BCC">
      <w:rPr>
        <w:rStyle w:val="Numrodepage"/>
        <w:rFonts w:asciiTheme="minorHAnsi" w:hAnsiTheme="minorHAnsi"/>
        <w:noProof/>
        <w:sz w:val="20"/>
        <w:szCs w:val="20"/>
      </w:rPr>
      <w:t>1</w:t>
    </w:r>
    <w:r w:rsidRPr="0009520A">
      <w:rPr>
        <w:rStyle w:val="Numrodepage"/>
        <w:rFonts w:asciiTheme="minorHAnsi" w:hAnsiTheme="minorHAnsi"/>
        <w:sz w:val="20"/>
        <w:szCs w:val="20"/>
      </w:rPr>
      <w:fldChar w:fldCharType="end"/>
    </w:r>
  </w:p>
  <w:p w14:paraId="43DA2918" w14:textId="77777777" w:rsidR="00C71922" w:rsidRPr="00062DBF" w:rsidRDefault="00C71922" w:rsidP="0009520A">
    <w:pPr>
      <w:pStyle w:val="Pieddepag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C71922" w:rsidRDefault="00C71922" w:rsidP="004215FE">
      <w:r>
        <w:separator/>
      </w:r>
    </w:p>
  </w:footnote>
  <w:footnote w:type="continuationSeparator" w:id="0">
    <w:p w14:paraId="7F6ABFA4" w14:textId="77777777" w:rsidR="00C71922" w:rsidRDefault="00C71922"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C71922" w:rsidRDefault="00C71922"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54BCC"/>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71922"/>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2A261-77C9-FA42-A9C0-6EA03A3F4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639</Words>
  <Characters>3518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4149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Thierry</cp:lastModifiedBy>
  <cp:revision>2</cp:revision>
  <dcterms:created xsi:type="dcterms:W3CDTF">2017-03-03T16:09:00Z</dcterms:created>
  <dcterms:modified xsi:type="dcterms:W3CDTF">2017-03-03T16:09:00Z</dcterms:modified>
</cp:coreProperties>
</file>