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1990" w:tblpY="-37"/>
        <w:tblW w:w="7603" w:type="dxa"/>
        <w:tblBorders>
          <w:top w:val="single" w:sz="4" w:space="0" w:color="auto"/>
          <w:bottom w:val="single" w:sz="6" w:space="0" w:color="auto"/>
        </w:tblBorders>
        <w:tblLook w:val="01E0" w:firstRow="1" w:lastRow="1" w:firstColumn="1" w:lastColumn="1" w:noHBand="0" w:noVBand="0"/>
      </w:tblPr>
      <w:tblGrid>
        <w:gridCol w:w="2660"/>
        <w:gridCol w:w="3402"/>
        <w:gridCol w:w="1541"/>
      </w:tblGrid>
      <w:tr w:rsidR="001D38D6" w:rsidRPr="00E20954" w14:paraId="18BE991F" w14:textId="77777777" w:rsidTr="00825AE5">
        <w:trPr>
          <w:trHeight w:val="63"/>
        </w:trPr>
        <w:tc>
          <w:tcPr>
            <w:tcW w:w="7603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419F564D" w14:textId="1E7F1355" w:rsidR="001D38D6" w:rsidRPr="00E20954" w:rsidRDefault="001D38D6" w:rsidP="00825AE5">
            <w:pPr>
              <w:tabs>
                <w:tab w:val="left" w:pos="440"/>
              </w:tabs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Supplementary file 1</w:t>
            </w:r>
            <w:r w:rsidRPr="00E20954">
              <w:rPr>
                <w:rFonts w:cs="Arial"/>
                <w:b/>
                <w:lang w:val="en-GB"/>
              </w:rPr>
              <w:t xml:space="preserve">. </w:t>
            </w:r>
            <w:r>
              <w:rPr>
                <w:rFonts w:cs="Arial"/>
                <w:b/>
                <w:lang w:val="en-GB"/>
              </w:rPr>
              <w:t xml:space="preserve">Crystallographic statistics of </w:t>
            </w:r>
            <w:r w:rsidR="00FB6E76">
              <w:rPr>
                <w:rFonts w:cs="Arial"/>
                <w:b/>
                <w:lang w:val="en-GB"/>
              </w:rPr>
              <w:t xml:space="preserve">the </w:t>
            </w:r>
            <w:r w:rsidRPr="00E20954">
              <w:rPr>
                <w:rFonts w:cs="Arial"/>
                <w:b/>
                <w:lang w:val="en-GB"/>
              </w:rPr>
              <w:t>ϕO11-dUPNPP structure</w:t>
            </w:r>
          </w:p>
        </w:tc>
      </w:tr>
      <w:tr w:rsidR="001D38D6" w:rsidRPr="00E20954" w14:paraId="53402DDE" w14:textId="77777777" w:rsidTr="00825AE5">
        <w:trPr>
          <w:trHeight w:val="257"/>
        </w:trPr>
        <w:tc>
          <w:tcPr>
            <w:tcW w:w="7603" w:type="dxa"/>
            <w:gridSpan w:val="3"/>
            <w:tcBorders>
              <w:top w:val="nil"/>
            </w:tcBorders>
          </w:tcPr>
          <w:p w14:paraId="6305093C" w14:textId="77777777" w:rsidR="001D38D6" w:rsidRPr="00E20954" w:rsidRDefault="001D38D6" w:rsidP="00825AE5">
            <w:pPr>
              <w:tabs>
                <w:tab w:val="left" w:pos="440"/>
              </w:tabs>
              <w:spacing w:before="120"/>
              <w:rPr>
                <w:rFonts w:cs="Arial"/>
                <w:b/>
                <w:lang w:val="en-GB"/>
              </w:rPr>
            </w:pPr>
            <w:r w:rsidRPr="00E20954">
              <w:rPr>
                <w:rFonts w:cs="Arial"/>
                <w:b/>
                <w:lang w:val="en-GB"/>
              </w:rPr>
              <w:t>Processed data</w:t>
            </w:r>
          </w:p>
        </w:tc>
      </w:tr>
      <w:tr w:rsidR="001D38D6" w:rsidRPr="00E20954" w14:paraId="41B6316C" w14:textId="77777777" w:rsidTr="00825AE5">
        <w:trPr>
          <w:gridAfter w:val="1"/>
          <w:wAfter w:w="1541" w:type="dxa"/>
          <w:trHeight w:val="242"/>
        </w:trPr>
        <w:tc>
          <w:tcPr>
            <w:tcW w:w="2660" w:type="dxa"/>
          </w:tcPr>
          <w:p w14:paraId="602C8D24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proofErr w:type="spellStart"/>
            <w:r w:rsidRPr="00E20954">
              <w:rPr>
                <w:rFonts w:cs="Arial"/>
                <w:lang w:val="en-GB"/>
              </w:rPr>
              <w:t>Beamline</w:t>
            </w:r>
            <w:proofErr w:type="spellEnd"/>
          </w:p>
        </w:tc>
        <w:tc>
          <w:tcPr>
            <w:tcW w:w="3402" w:type="dxa"/>
          </w:tcPr>
          <w:p w14:paraId="282F82B5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XALOC (ALBA)</w:t>
            </w:r>
          </w:p>
        </w:tc>
      </w:tr>
      <w:tr w:rsidR="001D38D6" w:rsidRPr="00E20954" w14:paraId="3DADE7B0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0592C3A5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Wavelength (Å)</w:t>
            </w:r>
          </w:p>
        </w:tc>
        <w:tc>
          <w:tcPr>
            <w:tcW w:w="3402" w:type="dxa"/>
          </w:tcPr>
          <w:p w14:paraId="6A684863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0.98</w:t>
            </w:r>
          </w:p>
        </w:tc>
      </w:tr>
      <w:tr w:rsidR="001D38D6" w:rsidRPr="00E20954" w14:paraId="1D27CD9D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539E3017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Space group</w:t>
            </w:r>
          </w:p>
        </w:tc>
        <w:tc>
          <w:tcPr>
            <w:tcW w:w="3402" w:type="dxa"/>
          </w:tcPr>
          <w:p w14:paraId="76A7C46F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P2</w:t>
            </w:r>
            <w:r w:rsidRPr="00E20954">
              <w:rPr>
                <w:rFonts w:cs="Arial"/>
                <w:vertAlign w:val="subscript"/>
                <w:lang w:val="en-GB"/>
              </w:rPr>
              <w:t>1</w:t>
            </w:r>
          </w:p>
        </w:tc>
      </w:tr>
      <w:tr w:rsidR="001D38D6" w:rsidRPr="00E20954" w14:paraId="079F0DA2" w14:textId="77777777" w:rsidTr="00825AE5">
        <w:trPr>
          <w:gridAfter w:val="1"/>
          <w:wAfter w:w="1541" w:type="dxa"/>
          <w:trHeight w:val="754"/>
        </w:trPr>
        <w:tc>
          <w:tcPr>
            <w:tcW w:w="2660" w:type="dxa"/>
          </w:tcPr>
          <w:p w14:paraId="1B07BA1B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Cell dimensions</w:t>
            </w:r>
          </w:p>
          <w:p w14:paraId="127B6EE2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proofErr w:type="gramStart"/>
            <w:r w:rsidRPr="00E20954">
              <w:rPr>
                <w:rFonts w:cs="Arial"/>
                <w:i/>
                <w:lang w:val="en-GB"/>
              </w:rPr>
              <w:t>a</w:t>
            </w:r>
            <w:proofErr w:type="gramEnd"/>
            <w:r w:rsidRPr="00E20954">
              <w:rPr>
                <w:rFonts w:cs="Arial"/>
                <w:i/>
                <w:lang w:val="en-GB"/>
              </w:rPr>
              <w:t>, b, c</w:t>
            </w:r>
            <w:r w:rsidRPr="00E20954">
              <w:rPr>
                <w:rFonts w:cs="Arial"/>
                <w:lang w:val="en-GB"/>
              </w:rPr>
              <w:t xml:space="preserve"> (Å)</w:t>
            </w:r>
          </w:p>
          <w:p w14:paraId="24599C1C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i/>
                <w:lang w:val="en-GB"/>
              </w:rPr>
              <w:t>α, β, γ</w:t>
            </w:r>
            <w:r w:rsidRPr="00E20954">
              <w:rPr>
                <w:rFonts w:cs="Arial"/>
                <w:lang w:val="en-GB"/>
              </w:rPr>
              <w:t xml:space="preserve"> (°)</w:t>
            </w:r>
          </w:p>
        </w:tc>
        <w:tc>
          <w:tcPr>
            <w:tcW w:w="3402" w:type="dxa"/>
          </w:tcPr>
          <w:p w14:paraId="1CC6A701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</w:p>
          <w:p w14:paraId="0C019A1F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33.47</w:t>
            </w:r>
            <w:proofErr w:type="gramStart"/>
            <w:r w:rsidRPr="00E20954">
              <w:rPr>
                <w:rFonts w:cs="Arial"/>
                <w:lang w:val="en-GB"/>
              </w:rPr>
              <w:t>,  88.84</w:t>
            </w:r>
            <w:proofErr w:type="gramEnd"/>
            <w:r w:rsidRPr="00E20954">
              <w:rPr>
                <w:rFonts w:cs="Arial"/>
                <w:lang w:val="en-GB"/>
              </w:rPr>
              <w:t>,  54.15</w:t>
            </w:r>
          </w:p>
          <w:p w14:paraId="3482590D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90</w:t>
            </w:r>
            <w:proofErr w:type="gramStart"/>
            <w:r w:rsidRPr="00E20954">
              <w:rPr>
                <w:rFonts w:cs="Arial"/>
                <w:lang w:val="en-GB"/>
              </w:rPr>
              <w:t>,  91.68</w:t>
            </w:r>
            <w:proofErr w:type="gramEnd"/>
            <w:r w:rsidRPr="00E20954">
              <w:rPr>
                <w:rFonts w:cs="Arial"/>
                <w:lang w:val="en-GB"/>
              </w:rPr>
              <w:t>, 90</w:t>
            </w:r>
          </w:p>
        </w:tc>
      </w:tr>
      <w:tr w:rsidR="001D38D6" w:rsidRPr="00E20954" w14:paraId="4AE60D8D" w14:textId="77777777" w:rsidTr="00825AE5">
        <w:trPr>
          <w:gridAfter w:val="1"/>
          <w:wAfter w:w="1541" w:type="dxa"/>
          <w:trHeight w:val="242"/>
        </w:trPr>
        <w:tc>
          <w:tcPr>
            <w:tcW w:w="2660" w:type="dxa"/>
          </w:tcPr>
          <w:p w14:paraId="7BDAC562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Resolution (Å)</w:t>
            </w:r>
          </w:p>
        </w:tc>
        <w:tc>
          <w:tcPr>
            <w:tcW w:w="3402" w:type="dxa"/>
          </w:tcPr>
          <w:p w14:paraId="12D33006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54.13–2.1 (2.21-2.1)</w:t>
            </w:r>
          </w:p>
        </w:tc>
      </w:tr>
      <w:tr w:rsidR="001D38D6" w:rsidRPr="00E20954" w14:paraId="052EF681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76A2BCFA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proofErr w:type="spellStart"/>
            <w:r w:rsidRPr="00E20954">
              <w:rPr>
                <w:rFonts w:cs="Arial"/>
                <w:lang w:val="en-GB"/>
              </w:rPr>
              <w:t>R</w:t>
            </w:r>
            <w:r w:rsidRPr="00E20954">
              <w:rPr>
                <w:rFonts w:cs="Arial"/>
                <w:vertAlign w:val="subscript"/>
                <w:lang w:val="en-GB"/>
              </w:rPr>
              <w:t>merge</w:t>
            </w:r>
            <w:proofErr w:type="spellEnd"/>
            <w:r w:rsidRPr="00E20954">
              <w:rPr>
                <w:rFonts w:cs="Arial"/>
                <w:lang w:val="en-GB"/>
              </w:rPr>
              <w:t xml:space="preserve"> (%)</w:t>
            </w:r>
          </w:p>
        </w:tc>
        <w:tc>
          <w:tcPr>
            <w:tcW w:w="3402" w:type="dxa"/>
          </w:tcPr>
          <w:p w14:paraId="5C38AC18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0.13 (0.31)</w:t>
            </w:r>
          </w:p>
        </w:tc>
      </w:tr>
      <w:tr w:rsidR="001D38D6" w:rsidRPr="00E20954" w14:paraId="4BEDD1F6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75B367E9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Mean I/</w:t>
            </w:r>
            <w:proofErr w:type="gramStart"/>
            <w:r w:rsidRPr="00E20954">
              <w:rPr>
                <w:rFonts w:cs="Arial"/>
                <w:lang w:val="en-GB"/>
              </w:rPr>
              <w:t>δ(</w:t>
            </w:r>
            <w:proofErr w:type="gramEnd"/>
            <w:r w:rsidRPr="00E20954">
              <w:rPr>
                <w:rFonts w:cs="Arial"/>
                <w:lang w:val="en-GB"/>
              </w:rPr>
              <w:t>I)</w:t>
            </w:r>
          </w:p>
        </w:tc>
        <w:tc>
          <w:tcPr>
            <w:tcW w:w="3402" w:type="dxa"/>
          </w:tcPr>
          <w:p w14:paraId="7EA6468F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6.4 (3.7)</w:t>
            </w:r>
          </w:p>
        </w:tc>
      </w:tr>
      <w:tr w:rsidR="001D38D6" w:rsidRPr="00E20954" w14:paraId="1BB1CED4" w14:textId="77777777" w:rsidTr="00825AE5">
        <w:trPr>
          <w:gridAfter w:val="1"/>
          <w:wAfter w:w="1541" w:type="dxa"/>
          <w:trHeight w:val="242"/>
        </w:trPr>
        <w:tc>
          <w:tcPr>
            <w:tcW w:w="2660" w:type="dxa"/>
          </w:tcPr>
          <w:p w14:paraId="7D9CA780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Unique reflections</w:t>
            </w:r>
          </w:p>
        </w:tc>
        <w:tc>
          <w:tcPr>
            <w:tcW w:w="3402" w:type="dxa"/>
          </w:tcPr>
          <w:p w14:paraId="7DD2D13B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18124 (2620)</w:t>
            </w:r>
          </w:p>
        </w:tc>
      </w:tr>
      <w:tr w:rsidR="001D38D6" w:rsidRPr="00E20954" w14:paraId="276F7041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0F586160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Completeness (%)</w:t>
            </w:r>
          </w:p>
        </w:tc>
        <w:tc>
          <w:tcPr>
            <w:tcW w:w="3402" w:type="dxa"/>
          </w:tcPr>
          <w:p w14:paraId="4C9C68DB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98.0 (98.1)</w:t>
            </w:r>
          </w:p>
        </w:tc>
      </w:tr>
      <w:tr w:rsidR="001D38D6" w:rsidRPr="00E20954" w14:paraId="080F0428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79322728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Redundancy</w:t>
            </w:r>
          </w:p>
        </w:tc>
        <w:tc>
          <w:tcPr>
            <w:tcW w:w="3402" w:type="dxa"/>
          </w:tcPr>
          <w:p w14:paraId="1415168E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3.0 (3.0)</w:t>
            </w:r>
          </w:p>
        </w:tc>
      </w:tr>
      <w:tr w:rsidR="001D38D6" w:rsidRPr="00E20954" w14:paraId="39BF975F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431F1958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b/>
                <w:lang w:val="en-GB"/>
              </w:rPr>
            </w:pPr>
          </w:p>
          <w:p w14:paraId="1B1C2242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b/>
                <w:lang w:val="en-GB"/>
              </w:rPr>
            </w:pPr>
            <w:r w:rsidRPr="00E20954">
              <w:rPr>
                <w:rFonts w:cs="Arial"/>
                <w:b/>
                <w:lang w:val="en-GB"/>
              </w:rPr>
              <w:t>Refined data</w:t>
            </w:r>
          </w:p>
        </w:tc>
        <w:tc>
          <w:tcPr>
            <w:tcW w:w="3402" w:type="dxa"/>
          </w:tcPr>
          <w:p w14:paraId="215AF6ED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lang w:val="en-GB"/>
              </w:rPr>
            </w:pPr>
          </w:p>
        </w:tc>
      </w:tr>
      <w:tr w:rsidR="001D38D6" w:rsidRPr="00E20954" w14:paraId="1F168457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061EF6F9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proofErr w:type="spellStart"/>
            <w:r w:rsidRPr="00E20954">
              <w:rPr>
                <w:rFonts w:cs="Arial"/>
                <w:lang w:val="en-GB"/>
              </w:rPr>
              <w:t>R</w:t>
            </w:r>
            <w:r w:rsidRPr="00E20954">
              <w:rPr>
                <w:rFonts w:cs="Arial"/>
                <w:vertAlign w:val="subscript"/>
                <w:lang w:val="en-GB"/>
              </w:rPr>
              <w:t>factor</w:t>
            </w:r>
            <w:proofErr w:type="spellEnd"/>
            <w:r w:rsidRPr="00E20954">
              <w:rPr>
                <w:rFonts w:cs="Arial"/>
                <w:lang w:val="en-GB"/>
              </w:rPr>
              <w:t xml:space="preserve"> (%)</w:t>
            </w:r>
          </w:p>
        </w:tc>
        <w:tc>
          <w:tcPr>
            <w:tcW w:w="3402" w:type="dxa"/>
          </w:tcPr>
          <w:p w14:paraId="6CF571AA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0.19 (0.20)</w:t>
            </w:r>
          </w:p>
        </w:tc>
      </w:tr>
      <w:tr w:rsidR="001D38D6" w:rsidRPr="00E20954" w14:paraId="5C61174E" w14:textId="77777777" w:rsidTr="00825AE5">
        <w:trPr>
          <w:gridAfter w:val="1"/>
          <w:wAfter w:w="1541" w:type="dxa"/>
          <w:trHeight w:val="242"/>
        </w:trPr>
        <w:tc>
          <w:tcPr>
            <w:tcW w:w="2660" w:type="dxa"/>
          </w:tcPr>
          <w:p w14:paraId="3DDFC191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proofErr w:type="spellStart"/>
            <w:r w:rsidRPr="00E20954">
              <w:rPr>
                <w:rFonts w:cs="Arial"/>
                <w:lang w:val="en-GB"/>
              </w:rPr>
              <w:t>R</w:t>
            </w:r>
            <w:r w:rsidRPr="00E20954">
              <w:rPr>
                <w:rFonts w:cs="Arial"/>
                <w:vertAlign w:val="subscript"/>
                <w:lang w:val="en-GB"/>
              </w:rPr>
              <w:t>free</w:t>
            </w:r>
            <w:proofErr w:type="spellEnd"/>
            <w:r w:rsidRPr="00E20954">
              <w:rPr>
                <w:rFonts w:cs="Arial"/>
                <w:lang w:val="en-GB"/>
              </w:rPr>
              <w:t xml:space="preserve"> (%)</w:t>
            </w:r>
          </w:p>
        </w:tc>
        <w:tc>
          <w:tcPr>
            <w:tcW w:w="3402" w:type="dxa"/>
          </w:tcPr>
          <w:p w14:paraId="4C11A7D9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0.24 (0.28)</w:t>
            </w:r>
          </w:p>
        </w:tc>
      </w:tr>
      <w:tr w:rsidR="001D38D6" w:rsidRPr="00E20954" w14:paraId="71400D17" w14:textId="77777777" w:rsidTr="00825AE5">
        <w:trPr>
          <w:gridAfter w:val="1"/>
          <w:wAfter w:w="1541" w:type="dxa"/>
          <w:trHeight w:val="257"/>
        </w:trPr>
        <w:tc>
          <w:tcPr>
            <w:tcW w:w="2660" w:type="dxa"/>
          </w:tcPr>
          <w:p w14:paraId="13C8059F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No. </w:t>
            </w:r>
            <w:proofErr w:type="gramStart"/>
            <w:r w:rsidRPr="00E20954">
              <w:rPr>
                <w:rFonts w:cs="Arial"/>
                <w:lang w:val="en-GB"/>
              </w:rPr>
              <w:t>non</w:t>
            </w:r>
            <w:proofErr w:type="gramEnd"/>
            <w:r w:rsidRPr="00E20954">
              <w:rPr>
                <w:rFonts w:cs="Arial"/>
                <w:lang w:val="en-GB"/>
              </w:rPr>
              <w:t>-hydrogen atoms</w:t>
            </w:r>
          </w:p>
          <w:p w14:paraId="7B8C6905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Protein</w:t>
            </w:r>
          </w:p>
          <w:p w14:paraId="54A5D0DD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Ligand</w:t>
            </w:r>
          </w:p>
          <w:p w14:paraId="784A856C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Water</w:t>
            </w:r>
          </w:p>
          <w:p w14:paraId="5DED89F3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Mg</w:t>
            </w:r>
          </w:p>
        </w:tc>
        <w:tc>
          <w:tcPr>
            <w:tcW w:w="3402" w:type="dxa"/>
          </w:tcPr>
          <w:p w14:paraId="7CD22A15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</w:p>
          <w:p w14:paraId="25A55CAB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2373</w:t>
            </w:r>
          </w:p>
          <w:p w14:paraId="53E0DB78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56</w:t>
            </w:r>
          </w:p>
          <w:p w14:paraId="74507224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74</w:t>
            </w:r>
          </w:p>
          <w:p w14:paraId="4D37D054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4</w:t>
            </w:r>
          </w:p>
        </w:tc>
      </w:tr>
      <w:tr w:rsidR="001D38D6" w:rsidRPr="00E20954" w14:paraId="7D351ECB" w14:textId="77777777" w:rsidTr="00825AE5">
        <w:trPr>
          <w:gridAfter w:val="1"/>
          <w:wAfter w:w="1541" w:type="dxa"/>
          <w:trHeight w:val="754"/>
        </w:trPr>
        <w:tc>
          <w:tcPr>
            <w:tcW w:w="2660" w:type="dxa"/>
          </w:tcPr>
          <w:p w14:paraId="41431EBF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RMSD</w:t>
            </w:r>
          </w:p>
          <w:p w14:paraId="46FF54BC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Bond deviation (Å)</w:t>
            </w:r>
          </w:p>
          <w:p w14:paraId="4C6297D9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Angle deviation (º)</w:t>
            </w:r>
          </w:p>
        </w:tc>
        <w:tc>
          <w:tcPr>
            <w:tcW w:w="3402" w:type="dxa"/>
          </w:tcPr>
          <w:p w14:paraId="7D683AB7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</w:p>
          <w:p w14:paraId="22A18B59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0.0077</w:t>
            </w:r>
          </w:p>
          <w:p w14:paraId="2A6B9B64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1.138</w:t>
            </w:r>
          </w:p>
        </w:tc>
      </w:tr>
      <w:tr w:rsidR="001D38D6" w:rsidRPr="00E20954" w14:paraId="182625E0" w14:textId="77777777" w:rsidTr="00825AE5">
        <w:trPr>
          <w:gridAfter w:val="1"/>
          <w:wAfter w:w="1541" w:type="dxa"/>
          <w:trHeight w:val="363"/>
        </w:trPr>
        <w:tc>
          <w:tcPr>
            <w:tcW w:w="2660" w:type="dxa"/>
          </w:tcPr>
          <w:p w14:paraId="79EB5F48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Average B-factor (Å</w:t>
            </w:r>
            <w:r w:rsidRPr="00E20954">
              <w:rPr>
                <w:rFonts w:cs="Arial"/>
                <w:vertAlign w:val="superscript"/>
                <w:lang w:val="en-GB"/>
              </w:rPr>
              <w:t>2</w:t>
            </w:r>
            <w:r w:rsidRPr="00E20954">
              <w:rPr>
                <w:rFonts w:cs="Arial"/>
                <w:lang w:val="en-GB"/>
              </w:rPr>
              <w:t>)</w:t>
            </w:r>
          </w:p>
          <w:p w14:paraId="55B35201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Protein</w:t>
            </w:r>
          </w:p>
          <w:p w14:paraId="5B5DCC26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Ligand</w:t>
            </w:r>
          </w:p>
          <w:p w14:paraId="386DBB33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Water</w:t>
            </w:r>
          </w:p>
          <w:p w14:paraId="64B374DB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Mg</w:t>
            </w:r>
          </w:p>
        </w:tc>
        <w:tc>
          <w:tcPr>
            <w:tcW w:w="3402" w:type="dxa"/>
          </w:tcPr>
          <w:p w14:paraId="5396F3E3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</w:p>
          <w:p w14:paraId="61172EBE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33.31</w:t>
            </w:r>
          </w:p>
          <w:p w14:paraId="516922B6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23.37</w:t>
            </w:r>
          </w:p>
          <w:p w14:paraId="49658B57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32.86</w:t>
            </w:r>
          </w:p>
          <w:p w14:paraId="579F5FAC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20.23</w:t>
            </w:r>
          </w:p>
        </w:tc>
      </w:tr>
      <w:tr w:rsidR="001D38D6" w:rsidRPr="00E20954" w14:paraId="6D2C0B80" w14:textId="77777777" w:rsidTr="00825AE5">
        <w:trPr>
          <w:gridAfter w:val="1"/>
          <w:wAfter w:w="1541" w:type="dxa"/>
          <w:trHeight w:val="363"/>
        </w:trPr>
        <w:tc>
          <w:tcPr>
            <w:tcW w:w="2660" w:type="dxa"/>
          </w:tcPr>
          <w:p w14:paraId="0A87B46E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proofErr w:type="spellStart"/>
            <w:r w:rsidRPr="00E20954">
              <w:rPr>
                <w:rFonts w:cs="Arial"/>
                <w:lang w:val="en-GB"/>
              </w:rPr>
              <w:t>Ramachandran</w:t>
            </w:r>
            <w:proofErr w:type="spellEnd"/>
            <w:r w:rsidRPr="00E20954">
              <w:rPr>
                <w:rFonts w:cs="Arial"/>
                <w:lang w:val="en-GB"/>
              </w:rPr>
              <w:t xml:space="preserve"> Map</w:t>
            </w:r>
          </w:p>
          <w:p w14:paraId="1321A054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Favoured (%)</w:t>
            </w:r>
          </w:p>
          <w:p w14:paraId="0C106B1E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Allowed (%)</w:t>
            </w:r>
          </w:p>
          <w:p w14:paraId="6CEA2501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 xml:space="preserve">    Outliers (%)</w:t>
            </w:r>
          </w:p>
          <w:p w14:paraId="6D9A7FA9" w14:textId="77777777" w:rsidR="001D38D6" w:rsidRPr="00E20954" w:rsidRDefault="001D38D6" w:rsidP="00825AE5">
            <w:pPr>
              <w:tabs>
                <w:tab w:val="left" w:pos="440"/>
              </w:tabs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PDB accession code</w:t>
            </w:r>
          </w:p>
        </w:tc>
        <w:tc>
          <w:tcPr>
            <w:tcW w:w="3402" w:type="dxa"/>
          </w:tcPr>
          <w:p w14:paraId="5B20709A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</w:p>
          <w:p w14:paraId="068CA7AE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97.03</w:t>
            </w:r>
          </w:p>
          <w:p w14:paraId="5D09689E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2.31</w:t>
            </w:r>
          </w:p>
          <w:p w14:paraId="4CFF6E42" w14:textId="77777777" w:rsidR="001D38D6" w:rsidRPr="00E20954" w:rsidRDefault="001D38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0.66</w:t>
            </w:r>
          </w:p>
          <w:p w14:paraId="7E35B34A" w14:textId="1696A2DB" w:rsidR="001D38D6" w:rsidRPr="00E20954" w:rsidRDefault="00B234D6" w:rsidP="00825AE5">
            <w:pPr>
              <w:tabs>
                <w:tab w:val="left" w:pos="440"/>
              </w:tabs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5MIL</w:t>
            </w:r>
          </w:p>
        </w:tc>
      </w:tr>
    </w:tbl>
    <w:p w14:paraId="4DC223D0" w14:textId="77777777" w:rsidR="001D38D6" w:rsidRPr="00E20954" w:rsidRDefault="001D38D6" w:rsidP="001D38D6">
      <w:pPr>
        <w:tabs>
          <w:tab w:val="left" w:pos="440"/>
        </w:tabs>
        <w:spacing w:after="60"/>
        <w:ind w:right="-433"/>
        <w:jc w:val="both"/>
        <w:rPr>
          <w:rFonts w:cs="Arial"/>
          <w:sz w:val="16"/>
          <w:szCs w:val="16"/>
          <w:lang w:val="en-GB"/>
        </w:rPr>
      </w:pPr>
    </w:p>
    <w:p w14:paraId="2BE4B536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00089982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4F5CF3D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451C4E26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9EEDA00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0B2E15CF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02075795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EB79723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142E19C6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479F754E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4B6409E7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57DCB138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48878410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11E24809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30F23C2A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57FAE841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4FACED04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380D7F68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78DD8129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4B0ED91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7296AE43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19A83156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479606B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1F74E135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1F07D27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1FE2545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DE8BBAE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1474E678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3BA3E91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7AFF2A9F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2A130FD2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3852C115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59C61BA4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201F5AB1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DE6F24B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4FEA17B6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629C93AE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2BDA7000" w14:textId="77777777" w:rsidR="001D38D6" w:rsidRPr="00E20954" w:rsidRDefault="001D38D6" w:rsidP="001D38D6">
      <w:pPr>
        <w:tabs>
          <w:tab w:val="left" w:pos="440"/>
        </w:tabs>
        <w:spacing w:after="60"/>
        <w:ind w:left="284" w:right="-433"/>
        <w:jc w:val="both"/>
        <w:rPr>
          <w:rFonts w:cs="Arial"/>
          <w:sz w:val="16"/>
          <w:szCs w:val="16"/>
          <w:lang w:val="en-GB"/>
        </w:rPr>
      </w:pPr>
    </w:p>
    <w:p w14:paraId="76077827" w14:textId="77777777" w:rsidR="001D38D6" w:rsidRPr="00E20954" w:rsidRDefault="001D38D6" w:rsidP="001D38D6">
      <w:pPr>
        <w:tabs>
          <w:tab w:val="left" w:pos="440"/>
        </w:tabs>
        <w:spacing w:before="240"/>
        <w:ind w:left="567"/>
        <w:jc w:val="both"/>
        <w:rPr>
          <w:rFonts w:cs="Arial"/>
          <w:sz w:val="16"/>
          <w:szCs w:val="16"/>
          <w:lang w:val="en-GB"/>
        </w:rPr>
      </w:pPr>
      <w:r w:rsidRPr="00E20954">
        <w:rPr>
          <w:rFonts w:cs="Arial"/>
          <w:sz w:val="16"/>
          <w:szCs w:val="16"/>
          <w:lang w:val="en-GB"/>
        </w:rPr>
        <w:t>Values in parentheses correspond to the data for the highest resolution shell</w:t>
      </w:r>
    </w:p>
    <w:p w14:paraId="17996D4D" w14:textId="77777777" w:rsidR="001D38D6" w:rsidRPr="00E20954" w:rsidRDefault="001D38D6" w:rsidP="001D38D6">
      <w:pPr>
        <w:tabs>
          <w:tab w:val="left" w:pos="440"/>
        </w:tabs>
        <w:ind w:left="567" w:right="-433"/>
        <w:jc w:val="both"/>
        <w:rPr>
          <w:rFonts w:cs="Arial"/>
          <w:sz w:val="16"/>
          <w:szCs w:val="16"/>
          <w:lang w:val="en-GB"/>
        </w:rPr>
      </w:pPr>
      <w:proofErr w:type="spellStart"/>
      <w:r w:rsidRPr="00E20954">
        <w:rPr>
          <w:rFonts w:cs="Arial"/>
          <w:sz w:val="16"/>
          <w:szCs w:val="16"/>
          <w:lang w:val="en-GB"/>
        </w:rPr>
        <w:t>R</w:t>
      </w:r>
      <w:r w:rsidRPr="00E20954">
        <w:rPr>
          <w:rFonts w:cs="Arial"/>
          <w:sz w:val="16"/>
          <w:szCs w:val="16"/>
          <w:vertAlign w:val="subscript"/>
          <w:lang w:val="en-GB"/>
        </w:rPr>
        <w:t>merge</w:t>
      </w:r>
      <w:proofErr w:type="spellEnd"/>
      <w:r w:rsidRPr="00E20954">
        <w:rPr>
          <w:rFonts w:cs="Arial"/>
          <w:sz w:val="16"/>
          <w:szCs w:val="16"/>
          <w:lang w:val="en-GB"/>
        </w:rPr>
        <w:t xml:space="preserve"> = Σ (I -&lt;I&gt;) / Σ&lt;I&gt;</w:t>
      </w:r>
    </w:p>
    <w:p w14:paraId="7402E3A2" w14:textId="77777777" w:rsidR="001D38D6" w:rsidRPr="00E20954" w:rsidRDefault="001D38D6" w:rsidP="001D38D6">
      <w:pPr>
        <w:tabs>
          <w:tab w:val="left" w:pos="440"/>
        </w:tabs>
        <w:ind w:left="567" w:right="-433"/>
        <w:jc w:val="both"/>
        <w:rPr>
          <w:rFonts w:cs="Arial"/>
          <w:sz w:val="16"/>
          <w:szCs w:val="16"/>
          <w:lang w:val="en-GB"/>
        </w:rPr>
      </w:pPr>
      <w:proofErr w:type="spellStart"/>
      <w:r w:rsidRPr="00E20954">
        <w:rPr>
          <w:rFonts w:cs="Arial"/>
          <w:sz w:val="16"/>
          <w:szCs w:val="16"/>
          <w:lang w:val="en-GB"/>
        </w:rPr>
        <w:t>R</w:t>
      </w:r>
      <w:r w:rsidRPr="00E20954">
        <w:rPr>
          <w:rFonts w:cs="Arial"/>
          <w:sz w:val="16"/>
          <w:szCs w:val="16"/>
          <w:vertAlign w:val="subscript"/>
          <w:lang w:val="en-GB"/>
        </w:rPr>
        <w:t>factor</w:t>
      </w:r>
      <w:proofErr w:type="spellEnd"/>
      <w:r w:rsidRPr="00E20954">
        <w:rPr>
          <w:rFonts w:cs="Arial"/>
          <w:sz w:val="16"/>
          <w:szCs w:val="16"/>
          <w:lang w:val="en-GB"/>
        </w:rPr>
        <w:t xml:space="preserve">= </w:t>
      </w:r>
      <w:proofErr w:type="spellStart"/>
      <w:r w:rsidRPr="00E20954">
        <w:rPr>
          <w:rFonts w:cs="Arial"/>
          <w:sz w:val="16"/>
          <w:szCs w:val="16"/>
          <w:lang w:val="en-GB"/>
        </w:rPr>
        <w:t>Σ‖Fo</w:t>
      </w:r>
      <w:proofErr w:type="spellEnd"/>
      <w:r w:rsidRPr="00E20954">
        <w:rPr>
          <w:rFonts w:cs="Arial"/>
          <w:sz w:val="16"/>
          <w:szCs w:val="16"/>
          <w:lang w:val="en-GB"/>
        </w:rPr>
        <w:t>|−|Fc‖/</w:t>
      </w:r>
      <w:proofErr w:type="spellStart"/>
      <w:r w:rsidRPr="00E20954">
        <w:rPr>
          <w:rFonts w:cs="Arial"/>
          <w:sz w:val="16"/>
          <w:szCs w:val="16"/>
          <w:lang w:val="en-GB"/>
        </w:rPr>
        <w:t>Σ|Fo</w:t>
      </w:r>
      <w:proofErr w:type="spellEnd"/>
      <w:r w:rsidRPr="00E20954">
        <w:rPr>
          <w:rFonts w:cs="Arial"/>
          <w:sz w:val="16"/>
          <w:szCs w:val="16"/>
          <w:lang w:val="en-GB"/>
        </w:rPr>
        <w:t>|</w:t>
      </w:r>
    </w:p>
    <w:p w14:paraId="2DE3B4B0" w14:textId="77777777" w:rsidR="001D38D6" w:rsidRPr="00E20954" w:rsidRDefault="001D38D6" w:rsidP="001D38D6">
      <w:pPr>
        <w:tabs>
          <w:tab w:val="left" w:pos="440"/>
        </w:tabs>
        <w:ind w:left="567" w:right="-433"/>
        <w:jc w:val="both"/>
        <w:rPr>
          <w:rFonts w:cs="Arial"/>
          <w:sz w:val="16"/>
          <w:szCs w:val="16"/>
          <w:lang w:val="en-GB"/>
        </w:rPr>
      </w:pPr>
      <w:proofErr w:type="spellStart"/>
      <w:r w:rsidRPr="00E20954">
        <w:rPr>
          <w:rFonts w:cs="Arial"/>
          <w:sz w:val="16"/>
          <w:szCs w:val="16"/>
          <w:lang w:val="en-GB"/>
        </w:rPr>
        <w:t>R</w:t>
      </w:r>
      <w:r w:rsidRPr="00E20954">
        <w:rPr>
          <w:rFonts w:cs="Arial"/>
          <w:sz w:val="16"/>
          <w:szCs w:val="16"/>
          <w:vertAlign w:val="subscript"/>
          <w:lang w:val="en-GB"/>
        </w:rPr>
        <w:t>free</w:t>
      </w:r>
      <w:proofErr w:type="spellEnd"/>
      <w:r w:rsidRPr="00E20954">
        <w:rPr>
          <w:rFonts w:cs="Arial"/>
          <w:sz w:val="16"/>
          <w:szCs w:val="16"/>
          <w:lang w:val="en-GB"/>
        </w:rPr>
        <w:t xml:space="preserve"> is the </w:t>
      </w:r>
      <w:proofErr w:type="spellStart"/>
      <w:r w:rsidRPr="00E20954">
        <w:rPr>
          <w:rFonts w:cs="Arial"/>
          <w:sz w:val="16"/>
          <w:szCs w:val="16"/>
          <w:lang w:val="en-GB"/>
        </w:rPr>
        <w:t>R</w:t>
      </w:r>
      <w:r w:rsidRPr="00E20954">
        <w:rPr>
          <w:rFonts w:cs="Arial"/>
          <w:sz w:val="16"/>
          <w:szCs w:val="16"/>
          <w:vertAlign w:val="subscript"/>
          <w:lang w:val="en-GB"/>
        </w:rPr>
        <w:t>factor</w:t>
      </w:r>
      <w:proofErr w:type="spellEnd"/>
      <w:r w:rsidRPr="00E20954">
        <w:rPr>
          <w:rFonts w:cs="Arial"/>
          <w:sz w:val="16"/>
          <w:szCs w:val="16"/>
          <w:lang w:val="en-GB"/>
        </w:rPr>
        <w:t xml:space="preserve"> calculated with 5% of the total unique reflections chosen randomly and omitted from refinement</w:t>
      </w:r>
    </w:p>
    <w:p w14:paraId="1397A114" w14:textId="77777777" w:rsidR="001D38D6" w:rsidRPr="00E20954" w:rsidRDefault="001D38D6" w:rsidP="001D38D6">
      <w:pPr>
        <w:tabs>
          <w:tab w:val="left" w:pos="440"/>
        </w:tabs>
        <w:spacing w:after="60"/>
        <w:ind w:right="-433"/>
        <w:jc w:val="both"/>
        <w:rPr>
          <w:rFonts w:cs="Arial"/>
          <w:sz w:val="16"/>
          <w:szCs w:val="16"/>
          <w:lang w:val="en-GB"/>
        </w:rPr>
      </w:pPr>
    </w:p>
    <w:p w14:paraId="6C097376" w14:textId="412F8B30" w:rsidR="001D38D6" w:rsidRDefault="001D38D6">
      <w:pPr>
        <w:rPr>
          <w:b/>
          <w:lang w:val="en-GB"/>
        </w:rPr>
      </w:pPr>
      <w:bookmarkStart w:id="0" w:name="_GoBack"/>
      <w:bookmarkEnd w:id="0"/>
    </w:p>
    <w:sectPr w:rsidR="001D38D6" w:rsidSect="0097554F">
      <w:pgSz w:w="11900" w:h="16840"/>
      <w:pgMar w:top="1418" w:right="141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E56F" w14:textId="77777777" w:rsidR="00F62904" w:rsidRDefault="00F62904" w:rsidP="00DD0A65">
      <w:r>
        <w:separator/>
      </w:r>
    </w:p>
  </w:endnote>
  <w:endnote w:type="continuationSeparator" w:id="0">
    <w:p w14:paraId="6C195AC8" w14:textId="77777777" w:rsidR="00F62904" w:rsidRDefault="00F62904" w:rsidP="00DD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1959" w14:textId="77777777" w:rsidR="00F62904" w:rsidRDefault="00F62904" w:rsidP="00DD0A65">
      <w:r>
        <w:separator/>
      </w:r>
    </w:p>
  </w:footnote>
  <w:footnote w:type="continuationSeparator" w:id="0">
    <w:p w14:paraId="6E578253" w14:textId="77777777" w:rsidR="00F62904" w:rsidRDefault="00F62904" w:rsidP="00DD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C5"/>
    <w:multiLevelType w:val="hybridMultilevel"/>
    <w:tmpl w:val="B3487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29"/>
    <w:rsid w:val="00000492"/>
    <w:rsid w:val="00004B48"/>
    <w:rsid w:val="00087399"/>
    <w:rsid w:val="0009463B"/>
    <w:rsid w:val="00141A37"/>
    <w:rsid w:val="001607A7"/>
    <w:rsid w:val="00164D68"/>
    <w:rsid w:val="001773C7"/>
    <w:rsid w:val="00181E11"/>
    <w:rsid w:val="001D38D6"/>
    <w:rsid w:val="001E2B84"/>
    <w:rsid w:val="0020477E"/>
    <w:rsid w:val="0022023B"/>
    <w:rsid w:val="0027576A"/>
    <w:rsid w:val="002B53CE"/>
    <w:rsid w:val="002B743D"/>
    <w:rsid w:val="002C3930"/>
    <w:rsid w:val="002D1BA7"/>
    <w:rsid w:val="00303A1C"/>
    <w:rsid w:val="00331C62"/>
    <w:rsid w:val="00361E2A"/>
    <w:rsid w:val="00377D31"/>
    <w:rsid w:val="00396BE3"/>
    <w:rsid w:val="00396FAA"/>
    <w:rsid w:val="003A038E"/>
    <w:rsid w:val="004200CB"/>
    <w:rsid w:val="00445B23"/>
    <w:rsid w:val="004555CE"/>
    <w:rsid w:val="00460CBB"/>
    <w:rsid w:val="00484D85"/>
    <w:rsid w:val="004921AE"/>
    <w:rsid w:val="004A27E2"/>
    <w:rsid w:val="004A6BE8"/>
    <w:rsid w:val="00516CFE"/>
    <w:rsid w:val="005247F1"/>
    <w:rsid w:val="005359D3"/>
    <w:rsid w:val="00550A40"/>
    <w:rsid w:val="005613A0"/>
    <w:rsid w:val="0058152D"/>
    <w:rsid w:val="005A6A4A"/>
    <w:rsid w:val="005C67A0"/>
    <w:rsid w:val="005D21C1"/>
    <w:rsid w:val="006150B6"/>
    <w:rsid w:val="00651171"/>
    <w:rsid w:val="00651361"/>
    <w:rsid w:val="00651DBF"/>
    <w:rsid w:val="00661B52"/>
    <w:rsid w:val="00687F1F"/>
    <w:rsid w:val="00691DE6"/>
    <w:rsid w:val="006C2254"/>
    <w:rsid w:val="007310C5"/>
    <w:rsid w:val="00767541"/>
    <w:rsid w:val="00785C7F"/>
    <w:rsid w:val="008148AA"/>
    <w:rsid w:val="00825AE5"/>
    <w:rsid w:val="008278E9"/>
    <w:rsid w:val="008319A3"/>
    <w:rsid w:val="0084332B"/>
    <w:rsid w:val="008546B7"/>
    <w:rsid w:val="0089583C"/>
    <w:rsid w:val="008A75D8"/>
    <w:rsid w:val="008B34DA"/>
    <w:rsid w:val="008B4B1F"/>
    <w:rsid w:val="008E31FD"/>
    <w:rsid w:val="00903A29"/>
    <w:rsid w:val="00932120"/>
    <w:rsid w:val="00940827"/>
    <w:rsid w:val="0097554F"/>
    <w:rsid w:val="0098644B"/>
    <w:rsid w:val="009D56AF"/>
    <w:rsid w:val="009E2FDD"/>
    <w:rsid w:val="009F54C1"/>
    <w:rsid w:val="00A51642"/>
    <w:rsid w:val="00A83F2A"/>
    <w:rsid w:val="00A95F17"/>
    <w:rsid w:val="00AB2CDF"/>
    <w:rsid w:val="00AC4103"/>
    <w:rsid w:val="00AD393B"/>
    <w:rsid w:val="00B07E7D"/>
    <w:rsid w:val="00B234D6"/>
    <w:rsid w:val="00B2546F"/>
    <w:rsid w:val="00B2791A"/>
    <w:rsid w:val="00B56B17"/>
    <w:rsid w:val="00B57322"/>
    <w:rsid w:val="00B6113D"/>
    <w:rsid w:val="00B64B1E"/>
    <w:rsid w:val="00B85EFD"/>
    <w:rsid w:val="00C16747"/>
    <w:rsid w:val="00C54CB0"/>
    <w:rsid w:val="00C603FE"/>
    <w:rsid w:val="00C8025A"/>
    <w:rsid w:val="00C809D3"/>
    <w:rsid w:val="00C80B21"/>
    <w:rsid w:val="00C94944"/>
    <w:rsid w:val="00CA7E6F"/>
    <w:rsid w:val="00CC7603"/>
    <w:rsid w:val="00CF5307"/>
    <w:rsid w:val="00D01719"/>
    <w:rsid w:val="00D35D51"/>
    <w:rsid w:val="00D3651C"/>
    <w:rsid w:val="00D4190D"/>
    <w:rsid w:val="00D823CD"/>
    <w:rsid w:val="00DD0270"/>
    <w:rsid w:val="00DD0A65"/>
    <w:rsid w:val="00DF61E2"/>
    <w:rsid w:val="00E125C7"/>
    <w:rsid w:val="00E17D66"/>
    <w:rsid w:val="00E20954"/>
    <w:rsid w:val="00E22405"/>
    <w:rsid w:val="00E75C39"/>
    <w:rsid w:val="00E85F4C"/>
    <w:rsid w:val="00EE5B34"/>
    <w:rsid w:val="00F0164E"/>
    <w:rsid w:val="00F054E3"/>
    <w:rsid w:val="00F3188C"/>
    <w:rsid w:val="00F62904"/>
    <w:rsid w:val="00F71F2C"/>
    <w:rsid w:val="00F75B68"/>
    <w:rsid w:val="00FB6E76"/>
    <w:rsid w:val="00FD4BF4"/>
    <w:rsid w:val="00FE7A45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E1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930</Characters>
  <Application>Microsoft Macintosh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 Penadés</dc:creator>
  <cp:keywords/>
  <dc:description/>
  <cp:lastModifiedBy>José R Penadés</cp:lastModifiedBy>
  <cp:revision>3</cp:revision>
  <dcterms:created xsi:type="dcterms:W3CDTF">2017-08-04T11:30:00Z</dcterms:created>
  <dcterms:modified xsi:type="dcterms:W3CDTF">2017-08-04T11:30:00Z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id="http://www.zotero.org/styles/apa"/&gt;&lt;hasBiblio/&gt;&lt;format class="21"/&gt;&lt;count citations="22" publications="14"/&gt;&lt;/info&gt;PAPERS2_INFO_END</vt:lpwstr>
  </property>
</Properties>
</file>