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420DB" w14:textId="2C10AA6E" w:rsidR="005E072C" w:rsidRPr="005E072C" w:rsidRDefault="005E072C">
      <w:pPr>
        <w:rPr>
          <w:b/>
        </w:rPr>
      </w:pPr>
      <w:r>
        <w:rPr>
          <w:b/>
        </w:rPr>
        <w:t>Supplementary file 1: List of the cell lines used in this study.</w:t>
      </w:r>
    </w:p>
    <w:p w14:paraId="620D1CA4" w14:textId="77777777" w:rsidR="005E072C" w:rsidRDefault="005E072C"/>
    <w:tbl>
      <w:tblPr>
        <w:tblStyle w:val="TableGrid"/>
        <w:tblW w:w="0" w:type="auto"/>
        <w:tblLook w:val="04A0" w:firstRow="1" w:lastRow="0" w:firstColumn="1" w:lastColumn="0" w:noHBand="0" w:noVBand="1"/>
      </w:tblPr>
      <w:tblGrid>
        <w:gridCol w:w="1324"/>
        <w:gridCol w:w="1490"/>
        <w:gridCol w:w="1541"/>
        <w:gridCol w:w="2166"/>
        <w:gridCol w:w="1995"/>
      </w:tblGrid>
      <w:tr w:rsidR="00B835CF" w:rsidRPr="00560E82" w14:paraId="5D3C156E" w14:textId="77777777" w:rsidTr="00303FB1">
        <w:tc>
          <w:tcPr>
            <w:tcW w:w="0" w:type="auto"/>
            <w:vAlign w:val="center"/>
          </w:tcPr>
          <w:p w14:paraId="09236165" w14:textId="77777777" w:rsidR="00B835CF" w:rsidRPr="00560E82" w:rsidRDefault="00B835CF" w:rsidP="00303FB1">
            <w:pPr>
              <w:jc w:val="center"/>
              <w:rPr>
                <w:rFonts w:ascii="Helvetica" w:hAnsi="Helvetica"/>
                <w:b/>
                <w:sz w:val="20"/>
                <w:szCs w:val="20"/>
              </w:rPr>
            </w:pPr>
            <w:r w:rsidRPr="00560E82">
              <w:rPr>
                <w:rFonts w:ascii="Helvetica" w:hAnsi="Helvetica"/>
                <w:b/>
                <w:sz w:val="20"/>
                <w:szCs w:val="20"/>
              </w:rPr>
              <w:t>Line name</w:t>
            </w:r>
          </w:p>
        </w:tc>
        <w:tc>
          <w:tcPr>
            <w:tcW w:w="0" w:type="auto"/>
            <w:vAlign w:val="center"/>
          </w:tcPr>
          <w:p w14:paraId="2D5C1963" w14:textId="77777777" w:rsidR="00B835CF" w:rsidRPr="00560E82" w:rsidRDefault="00B835CF" w:rsidP="00303FB1">
            <w:pPr>
              <w:jc w:val="center"/>
              <w:rPr>
                <w:rFonts w:ascii="Helvetica" w:hAnsi="Helvetica"/>
                <w:b/>
                <w:sz w:val="20"/>
                <w:szCs w:val="20"/>
              </w:rPr>
            </w:pPr>
            <w:r w:rsidRPr="00560E82">
              <w:rPr>
                <w:rFonts w:ascii="Helvetica" w:hAnsi="Helvetica"/>
                <w:b/>
                <w:i/>
                <w:sz w:val="20"/>
                <w:szCs w:val="20"/>
              </w:rPr>
              <w:t>Sox2</w:t>
            </w:r>
            <w:r w:rsidRPr="00560E82">
              <w:rPr>
                <w:rFonts w:ascii="Helvetica" w:hAnsi="Helvetica"/>
                <w:b/>
                <w:sz w:val="20"/>
                <w:szCs w:val="20"/>
              </w:rPr>
              <w:t xml:space="preserve"> genotype</w:t>
            </w:r>
          </w:p>
        </w:tc>
        <w:tc>
          <w:tcPr>
            <w:tcW w:w="0" w:type="auto"/>
            <w:vAlign w:val="center"/>
          </w:tcPr>
          <w:p w14:paraId="4146BF8F" w14:textId="7468CC88" w:rsidR="00B835CF" w:rsidRPr="00560E82" w:rsidRDefault="00B835CF" w:rsidP="00560E82">
            <w:pPr>
              <w:jc w:val="center"/>
              <w:rPr>
                <w:rFonts w:ascii="Helvetica" w:hAnsi="Helvetica"/>
                <w:b/>
                <w:sz w:val="20"/>
                <w:szCs w:val="20"/>
              </w:rPr>
            </w:pPr>
            <w:r w:rsidRPr="00560E82">
              <w:rPr>
                <w:rFonts w:ascii="Helvetica" w:hAnsi="Helvetica"/>
                <w:b/>
                <w:i/>
                <w:sz w:val="20"/>
                <w:szCs w:val="20"/>
              </w:rPr>
              <w:t>Sox3</w:t>
            </w:r>
            <w:r w:rsidR="00560E82" w:rsidRPr="00560E82">
              <w:rPr>
                <w:rFonts w:ascii="Helvetica" w:hAnsi="Helvetica"/>
                <w:b/>
                <w:sz w:val="20"/>
                <w:szCs w:val="20"/>
                <w:vertAlign w:val="superscript"/>
              </w:rPr>
              <w:t>¶</w:t>
            </w:r>
            <w:r w:rsidRPr="00560E82">
              <w:rPr>
                <w:rFonts w:ascii="Helvetica" w:hAnsi="Helvetica"/>
                <w:b/>
                <w:sz w:val="20"/>
                <w:szCs w:val="20"/>
              </w:rPr>
              <w:t xml:space="preserve"> genotype</w:t>
            </w:r>
          </w:p>
        </w:tc>
        <w:tc>
          <w:tcPr>
            <w:tcW w:w="0" w:type="auto"/>
            <w:vAlign w:val="center"/>
          </w:tcPr>
          <w:p w14:paraId="522FAD8F" w14:textId="77777777" w:rsidR="00B835CF" w:rsidRPr="00560E82" w:rsidRDefault="00B835CF" w:rsidP="004761DE">
            <w:pPr>
              <w:jc w:val="center"/>
              <w:rPr>
                <w:rFonts w:ascii="Helvetica" w:hAnsi="Helvetica"/>
                <w:b/>
                <w:sz w:val="20"/>
                <w:szCs w:val="20"/>
              </w:rPr>
            </w:pPr>
            <w:r w:rsidRPr="00560E82">
              <w:rPr>
                <w:rFonts w:ascii="Helvetica" w:hAnsi="Helvetica"/>
                <w:b/>
                <w:sz w:val="20"/>
                <w:szCs w:val="20"/>
              </w:rPr>
              <w:t>Other</w:t>
            </w:r>
            <w:r w:rsidR="004761DE" w:rsidRPr="00560E82">
              <w:rPr>
                <w:rFonts w:ascii="Helvetica" w:hAnsi="Helvetica"/>
                <w:b/>
                <w:sz w:val="20"/>
                <w:szCs w:val="20"/>
              </w:rPr>
              <w:t xml:space="preserve"> transgenes</w:t>
            </w:r>
            <w:r w:rsidRPr="00560E82">
              <w:rPr>
                <w:rFonts w:ascii="Helvetica" w:hAnsi="Helvetica"/>
                <w:b/>
                <w:sz w:val="20"/>
                <w:szCs w:val="20"/>
              </w:rPr>
              <w:t xml:space="preserve"> </w:t>
            </w:r>
          </w:p>
        </w:tc>
        <w:tc>
          <w:tcPr>
            <w:tcW w:w="0" w:type="auto"/>
            <w:vAlign w:val="center"/>
          </w:tcPr>
          <w:p w14:paraId="0A223446" w14:textId="77777777" w:rsidR="00B835CF" w:rsidRPr="00560E82" w:rsidRDefault="00B835CF" w:rsidP="00303FB1">
            <w:pPr>
              <w:jc w:val="center"/>
              <w:rPr>
                <w:rFonts w:ascii="Helvetica" w:hAnsi="Helvetica"/>
                <w:b/>
                <w:sz w:val="20"/>
                <w:szCs w:val="20"/>
              </w:rPr>
            </w:pPr>
            <w:r w:rsidRPr="00560E82">
              <w:rPr>
                <w:rFonts w:ascii="Helvetica" w:hAnsi="Helvetica"/>
                <w:b/>
                <w:sz w:val="20"/>
                <w:szCs w:val="20"/>
              </w:rPr>
              <w:t>Parental line</w:t>
            </w:r>
          </w:p>
        </w:tc>
      </w:tr>
      <w:tr w:rsidR="00B835CF" w:rsidRPr="00560E82" w14:paraId="31C6D3FC" w14:textId="77777777" w:rsidTr="00303FB1">
        <w:tc>
          <w:tcPr>
            <w:tcW w:w="0" w:type="auto"/>
            <w:vAlign w:val="center"/>
          </w:tcPr>
          <w:p w14:paraId="650EF90C"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E14Tg2a</w:t>
            </w:r>
          </w:p>
        </w:tc>
        <w:tc>
          <w:tcPr>
            <w:tcW w:w="0" w:type="auto"/>
            <w:vAlign w:val="center"/>
          </w:tcPr>
          <w:p w14:paraId="0A752445"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w:t>
            </w:r>
          </w:p>
        </w:tc>
        <w:tc>
          <w:tcPr>
            <w:tcW w:w="0" w:type="auto"/>
            <w:vAlign w:val="center"/>
          </w:tcPr>
          <w:p w14:paraId="4AFD158D"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WT</w:t>
            </w:r>
          </w:p>
        </w:tc>
        <w:tc>
          <w:tcPr>
            <w:tcW w:w="0" w:type="auto"/>
            <w:vAlign w:val="center"/>
          </w:tcPr>
          <w:p w14:paraId="6A309BAF" w14:textId="77777777" w:rsidR="00B835CF" w:rsidRPr="00560E82" w:rsidRDefault="00B835CF" w:rsidP="00303FB1">
            <w:pPr>
              <w:jc w:val="center"/>
              <w:rPr>
                <w:rFonts w:ascii="Helvetica" w:hAnsi="Helvetica"/>
                <w:sz w:val="20"/>
                <w:szCs w:val="20"/>
              </w:rPr>
            </w:pPr>
          </w:p>
        </w:tc>
        <w:tc>
          <w:tcPr>
            <w:tcW w:w="0" w:type="auto"/>
            <w:vAlign w:val="center"/>
          </w:tcPr>
          <w:p w14:paraId="65D18421" w14:textId="77777777" w:rsidR="00B835CF" w:rsidRPr="00560E82" w:rsidRDefault="00303FB1" w:rsidP="00303FB1">
            <w:pPr>
              <w:jc w:val="center"/>
              <w:rPr>
                <w:rFonts w:ascii="Helvetica" w:hAnsi="Helvetica"/>
                <w:sz w:val="20"/>
                <w:szCs w:val="20"/>
              </w:rPr>
            </w:pPr>
            <w:r w:rsidRPr="00560E82">
              <w:rPr>
                <w:rFonts w:ascii="Helvetica" w:hAnsi="Helvetica"/>
                <w:sz w:val="20"/>
                <w:szCs w:val="20"/>
              </w:rPr>
              <w:t xml:space="preserve">E14 </w:t>
            </w:r>
            <w:r w:rsidRPr="00560E82">
              <w:rPr>
                <w:rFonts w:ascii="Helvetica" w:hAnsi="Helvetica"/>
                <w:sz w:val="20"/>
                <w:szCs w:val="20"/>
              </w:rPr>
              <w:fldChar w:fldCharType="begin" w:fldLock="1"/>
            </w:r>
            <w:r w:rsidRPr="00560E82">
              <w:rPr>
                <w:rFonts w:ascii="Helvetica" w:hAnsi="Helvetica"/>
                <w:sz w:val="20"/>
                <w:szCs w:val="20"/>
              </w:rPr>
              <w:instrText>ADDIN CSL_CITATION { "citationItems" : [ { "id" : "ITEM-1", "itemData" : { "DOI" : "10.1038/326292a0", "ISSN" : "0028-0836", "author" : [ { "dropping-particle" : "", "family" : "Hooper", "given" : "Martin", "non-dropping-particle" : "", "parse-names" : false, "suffix" : "" }, { "dropping-particle" : "", "family" : "Hardy", "given" : "Kate", "non-dropping-particle" : "", "parse-names" : false, "suffix" : "" }, { "dropping-particle" : "", "family" : "Handyside", "given" : "Alan", "non-dropping-particle" : "", "parse-names" : false, "suffix" : "" }, { "dropping-particle" : "", "family" : "Hunter", "given" : "Susan", "non-dropping-particle" : "", "parse-names" : false, "suffix" : "" }, { "dropping-particle" : "", "family" : "Monk", "given" : "Marilyn", "non-dropping-particle" : "", "parse-names" : false, "suffix" : "" } ], "container-title" : "Nature", "id" : "ITEM-1", "issue" : "6110", "issued" : { "date-parts" : [ [ "1987", "3", "25" ] ] }, "page" : "292-295", "title" : "HPRT-deficient (Lesch\u2013Nyhan) mouse embryos derived from germline colonization by cultured cells", "type" : "article-journal", "volume" : "326" }, "uris" : [ "http://www.mendeley.com/documents/?uuid=81e0d62d-65c0-3f4e-899f-6e821bdbd93f" ] } ], "mendeley" : { "formattedCitation" : "(Hooper &lt;i&gt;et al&lt;/i&gt;, 1987)", "plainTextFormattedCitation" : "(Hooper et al, 1987)" }, "properties" : { "noteIndex" : 0 }, "schema" : "https://github.com/citation-style-language/schema/raw/master/csl-citation.json" }</w:instrText>
            </w:r>
            <w:r w:rsidRPr="00560E82">
              <w:rPr>
                <w:rFonts w:ascii="Helvetica" w:hAnsi="Helvetica"/>
                <w:sz w:val="20"/>
                <w:szCs w:val="20"/>
              </w:rPr>
              <w:fldChar w:fldCharType="separate"/>
            </w:r>
            <w:r w:rsidRPr="00560E82">
              <w:rPr>
                <w:rFonts w:ascii="Helvetica" w:hAnsi="Helvetica"/>
                <w:noProof/>
                <w:sz w:val="20"/>
                <w:szCs w:val="20"/>
              </w:rPr>
              <w:t xml:space="preserve">(Hooper </w:t>
            </w:r>
            <w:r w:rsidRPr="00560E82">
              <w:rPr>
                <w:rFonts w:ascii="Helvetica" w:hAnsi="Helvetica"/>
                <w:i/>
                <w:noProof/>
                <w:sz w:val="20"/>
                <w:szCs w:val="20"/>
              </w:rPr>
              <w:t>et al</w:t>
            </w:r>
            <w:r w:rsidRPr="00560E82">
              <w:rPr>
                <w:rFonts w:ascii="Helvetica" w:hAnsi="Helvetica"/>
                <w:noProof/>
                <w:sz w:val="20"/>
                <w:szCs w:val="20"/>
              </w:rPr>
              <w:t>, 1987)</w:t>
            </w:r>
            <w:r w:rsidRPr="00560E82">
              <w:rPr>
                <w:rFonts w:ascii="Helvetica" w:hAnsi="Helvetica"/>
                <w:sz w:val="20"/>
                <w:szCs w:val="20"/>
              </w:rPr>
              <w:fldChar w:fldCharType="end"/>
            </w:r>
          </w:p>
        </w:tc>
      </w:tr>
      <w:tr w:rsidR="00B835CF" w:rsidRPr="00560E82" w14:paraId="7209ED92" w14:textId="77777777" w:rsidTr="00303FB1">
        <w:tc>
          <w:tcPr>
            <w:tcW w:w="0" w:type="auto"/>
            <w:vAlign w:val="center"/>
          </w:tcPr>
          <w:p w14:paraId="33BF36E6"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SCKO</w:t>
            </w:r>
          </w:p>
        </w:tc>
        <w:tc>
          <w:tcPr>
            <w:tcW w:w="0" w:type="auto"/>
            <w:vAlign w:val="center"/>
          </w:tcPr>
          <w:p w14:paraId="49A9F2EA" w14:textId="3E09BA61" w:rsidR="00B835CF" w:rsidRPr="00560E82" w:rsidRDefault="00B835CF"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fl/</w:t>
            </w:r>
            <w:r w:rsidR="00DC601B">
              <w:rPr>
                <w:rFonts w:ascii="Helvetica" w:hAnsi="Helvetica"/>
                <w:i/>
                <w:sz w:val="20"/>
                <w:szCs w:val="20"/>
                <w:vertAlign w:val="superscript"/>
              </w:rPr>
              <w:t>-</w:t>
            </w:r>
            <w:bookmarkStart w:id="0" w:name="_GoBack"/>
            <w:bookmarkEnd w:id="0"/>
          </w:p>
        </w:tc>
        <w:tc>
          <w:tcPr>
            <w:tcW w:w="0" w:type="auto"/>
            <w:vAlign w:val="center"/>
          </w:tcPr>
          <w:p w14:paraId="17D8E14A"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WT</w:t>
            </w:r>
          </w:p>
        </w:tc>
        <w:tc>
          <w:tcPr>
            <w:tcW w:w="0" w:type="auto"/>
            <w:vAlign w:val="center"/>
          </w:tcPr>
          <w:p w14:paraId="76478508"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CAG-CreER</w:t>
            </w:r>
            <w:r w:rsidRPr="00560E82">
              <w:rPr>
                <w:rFonts w:ascii="Helvetica" w:hAnsi="Helvetica"/>
                <w:sz w:val="20"/>
                <w:szCs w:val="20"/>
                <w:vertAlign w:val="superscript"/>
              </w:rPr>
              <w:t>T2</w:t>
            </w:r>
            <w:r w:rsidRPr="00560E82">
              <w:rPr>
                <w:rFonts w:ascii="Helvetica" w:hAnsi="Helvetica"/>
                <w:sz w:val="20"/>
                <w:szCs w:val="20"/>
              </w:rPr>
              <w:t>-ires-puroR</w:t>
            </w:r>
            <w:r w:rsidR="00303FB1" w:rsidRPr="00560E82">
              <w:rPr>
                <w:rFonts w:ascii="Helvetica" w:hAnsi="Helvetica"/>
                <w:sz w:val="20"/>
                <w:szCs w:val="20"/>
              </w:rPr>
              <w:t>*</w:t>
            </w:r>
          </w:p>
        </w:tc>
        <w:tc>
          <w:tcPr>
            <w:tcW w:w="0" w:type="auto"/>
            <w:vAlign w:val="center"/>
          </w:tcPr>
          <w:p w14:paraId="30C78A1B"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 xml:space="preserve">CJ7 </w:t>
            </w:r>
            <w:r w:rsidRPr="00560E82">
              <w:rPr>
                <w:rFonts w:ascii="Helvetica" w:hAnsi="Helvetica"/>
                <w:sz w:val="20"/>
                <w:szCs w:val="20"/>
              </w:rPr>
              <w:fldChar w:fldCharType="begin" w:fldLock="1"/>
            </w:r>
            <w:r w:rsidR="00303FB1" w:rsidRPr="00560E82">
              <w:rPr>
                <w:rFonts w:ascii="Helvetica" w:hAnsi="Helvetica"/>
                <w:sz w:val="20"/>
                <w:szCs w:val="20"/>
              </w:rPr>
              <w:instrText>ADDIN CSL_CITATION { "citationItems" : [ { "id" : "ITEM-1", "itemData" : { "DOI" : "10.1038/nn.2397", "ISBN" : "1546-1726 (Electronic)\\r1097-6256 (Linking)", "ISSN" : "1097-6256", "PMID" : "19734891", "abstract" : "Neural stem cells (NSCs) are controlled by diffusible factors. The transcription factor Sox2 is expressed by NSCs and Sox2 mutations in humans cause defects in the brain and, in particular, in the hippocampus. We deleted Sox2 in the mouse embryonic brain. At birth, the mice showed minor brain defects; shortly afterwards, however, NSCs and neurogenesis were completely lost in the hippocampus, leading to dentate gyrus hypoplasia. Deletion of Sox2 in adult mice also caused hippocampal neurogenesis loss. The hippocampal developmental defect resembles that caused by late sonic hedgehog (Shh) loss. In mutant mice, Shh and Wnt3a were absent from the hippocampal primordium. A SHH pharmacological agonist partially rescued the hippocampal defect. Chromatin immunoprecipitation identified Shh as a Sox2 target. Sox2-deleted NSCs did not express Shh in vitro and were rapidly lost. Their replication was partially rescued by the addition of SHH and was almost fully rescued by conditioned medium from normal cells. Thus, NSCs control their status, at least partly, through Sox2-dependent autocrine mechanisms.", "author" : [ { "dropping-particle" : "", "family" : "Favaro", "given" : "Rebecca", "non-dropping-particle" : "", "parse-names" : false, "suffix" : "" }, { "dropping-particle" : "", "family" : "Valotta", "given" : "Menella", "non-dropping-particle" : "", "parse-names" : false, "suffix" : "" }, { "dropping-particle" : "", "family" : "Ferri", "given" : "Anna L M", "non-dropping-particle" : "", "parse-names" : false, "suffix" : "" }, { "dropping-particle" : "", "family" : "Latorre", "given" : "Elisa", "non-dropping-particle" : "", "parse-names" : false, "suffix" : "" }, { "dropping-particle" : "", "family" : "Mariani", "given" : "Jessica", "non-dropping-particle" : "", "parse-names" : false, "suffix" : "" }, { "dropping-particle" : "", "family" : "Giachino", "given" : "Claudio", "non-dropping-particle" : "", "parse-names" : false, "suffix" : "" }, { "dropping-particle" : "", "family" : "Lancini", "given" : "Cesare", "non-dropping-particle" : "", "parse-names" : false, "suffix" : "" }, { "dropping-particle" : "", "family" : "Tosetti", "given" : "Valentina", "non-dropping-particle" : "", "parse-names" : false, "suffix" : "" }, { "dropping-particle" : "", "family" : "Ottolenghi", "given" : "Sergio", "non-dropping-particle" : "", "parse-names" : false, "suffix" : "" }, { "dropping-particle" : "", "family" : "Taylor", "given" : "Verdon", "non-dropping-particle" : "", "parse-names" : false, "suffix" : "" }, { "dropping-particle" : "", "family" : "Nicolis", "given" : "Silvia K", "non-dropping-particle" : "", "parse-names" : false, "suffix" : "" } ], "container-title" : "Nature neuroscience", "id" : "ITEM-1", "issue" : "10", "issued" : { "date-parts" : [ [ "2009" ] ] }, "page" : "1248-1256", "publisher" : "Nature Publishing Group", "title" : "Hippocampal development and neural stem cell maintenance require Sox2-dependent regulation of Shh.", "type" : "article-journal", "volume" : "12" }, "uris" : [ "http://www.mendeley.com/documents/?uuid=6dd15703-7f49-4e1c-9c90-3514e1ff47af" ] } ], "mendeley" : { "formattedCitation" : "(Favaro &lt;i&gt;et al&lt;/i&gt;, 2009)", "plainTextFormattedCitation" : "(Favaro et al, 2009)", "previouslyFormattedCitation" : "(Favaro &lt;i&gt;et al&lt;/i&gt;, 2009)" }, "properties" : { "noteIndex" : 0 }, "schema" : "https://github.com/citation-style-language/schema/raw/master/csl-citation.json" }</w:instrText>
            </w:r>
            <w:r w:rsidRPr="00560E82">
              <w:rPr>
                <w:rFonts w:ascii="Helvetica" w:hAnsi="Helvetica"/>
                <w:sz w:val="20"/>
                <w:szCs w:val="20"/>
              </w:rPr>
              <w:fldChar w:fldCharType="separate"/>
            </w:r>
            <w:r w:rsidRPr="00560E82">
              <w:rPr>
                <w:rFonts w:ascii="Helvetica" w:hAnsi="Helvetica"/>
                <w:noProof/>
                <w:sz w:val="20"/>
                <w:szCs w:val="20"/>
              </w:rPr>
              <w:t xml:space="preserve">(Favaro </w:t>
            </w:r>
            <w:r w:rsidRPr="00560E82">
              <w:rPr>
                <w:rFonts w:ascii="Helvetica" w:hAnsi="Helvetica"/>
                <w:i/>
                <w:noProof/>
                <w:sz w:val="20"/>
                <w:szCs w:val="20"/>
              </w:rPr>
              <w:t>et al</w:t>
            </w:r>
            <w:r w:rsidRPr="00560E82">
              <w:rPr>
                <w:rFonts w:ascii="Helvetica" w:hAnsi="Helvetica"/>
                <w:noProof/>
                <w:sz w:val="20"/>
                <w:szCs w:val="20"/>
              </w:rPr>
              <w:t>, 2009)</w:t>
            </w:r>
            <w:r w:rsidRPr="00560E82">
              <w:rPr>
                <w:rFonts w:ascii="Helvetica" w:hAnsi="Helvetica"/>
                <w:sz w:val="20"/>
                <w:szCs w:val="20"/>
              </w:rPr>
              <w:fldChar w:fldCharType="end"/>
            </w:r>
          </w:p>
        </w:tc>
      </w:tr>
      <w:tr w:rsidR="00303FB1" w:rsidRPr="00560E82" w14:paraId="31C0287E" w14:textId="77777777" w:rsidTr="00303FB1">
        <w:tc>
          <w:tcPr>
            <w:tcW w:w="0" w:type="auto"/>
            <w:vAlign w:val="center"/>
          </w:tcPr>
          <w:p w14:paraId="01EBE9FC" w14:textId="13794A1C" w:rsidR="00303FB1" w:rsidRPr="00560E82" w:rsidRDefault="00303FB1" w:rsidP="00560E82">
            <w:pPr>
              <w:jc w:val="center"/>
              <w:rPr>
                <w:rFonts w:ascii="Helvetica" w:hAnsi="Helvetica"/>
                <w:sz w:val="20"/>
                <w:szCs w:val="20"/>
              </w:rPr>
            </w:pPr>
            <w:r w:rsidRPr="00560E82">
              <w:rPr>
                <w:rFonts w:ascii="Helvetica" w:hAnsi="Helvetica"/>
                <w:sz w:val="20"/>
                <w:szCs w:val="20"/>
              </w:rPr>
              <w:t>S#R</w:t>
            </w:r>
            <w:r w:rsidR="00560E82">
              <w:rPr>
                <w:rFonts w:ascii="Helvetica" w:hAnsi="Helvetica"/>
                <w:sz w:val="20"/>
                <w:szCs w:val="20"/>
                <w:vertAlign w:val="superscript"/>
              </w:rPr>
              <w:t>§</w:t>
            </w:r>
          </w:p>
        </w:tc>
        <w:tc>
          <w:tcPr>
            <w:tcW w:w="0" w:type="auto"/>
            <w:vAlign w:val="center"/>
          </w:tcPr>
          <w:p w14:paraId="527C2A68" w14:textId="77777777" w:rsidR="00303FB1" w:rsidRPr="00560E82" w:rsidRDefault="00303FB1"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w:t>
            </w:r>
          </w:p>
        </w:tc>
        <w:tc>
          <w:tcPr>
            <w:tcW w:w="0" w:type="auto"/>
            <w:vAlign w:val="center"/>
          </w:tcPr>
          <w:p w14:paraId="0073CB07" w14:textId="77777777" w:rsidR="00303FB1" w:rsidRPr="00560E82" w:rsidRDefault="00303FB1"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WT</w:t>
            </w:r>
          </w:p>
        </w:tc>
        <w:tc>
          <w:tcPr>
            <w:tcW w:w="0" w:type="auto"/>
            <w:vAlign w:val="center"/>
          </w:tcPr>
          <w:p w14:paraId="75407D98" w14:textId="77777777" w:rsidR="00303FB1" w:rsidRPr="00560E82" w:rsidRDefault="00303FB1" w:rsidP="00303FB1">
            <w:pPr>
              <w:jc w:val="center"/>
              <w:rPr>
                <w:rFonts w:ascii="Helvetica" w:hAnsi="Helvetica"/>
                <w:sz w:val="20"/>
                <w:szCs w:val="20"/>
              </w:rPr>
            </w:pPr>
            <w:r w:rsidRPr="00560E82">
              <w:rPr>
                <w:rFonts w:ascii="Helvetica" w:hAnsi="Helvetica"/>
                <w:sz w:val="20"/>
                <w:szCs w:val="20"/>
              </w:rPr>
              <w:t>CAG-Sox#-ires-hygroR*</w:t>
            </w:r>
          </w:p>
        </w:tc>
        <w:tc>
          <w:tcPr>
            <w:tcW w:w="0" w:type="auto"/>
            <w:vAlign w:val="center"/>
          </w:tcPr>
          <w:p w14:paraId="461F16F2" w14:textId="77777777" w:rsidR="00303FB1" w:rsidRPr="00560E82" w:rsidRDefault="00303FB1" w:rsidP="00303FB1">
            <w:pPr>
              <w:jc w:val="center"/>
              <w:rPr>
                <w:rFonts w:ascii="Helvetica" w:hAnsi="Helvetica"/>
                <w:sz w:val="20"/>
                <w:szCs w:val="20"/>
              </w:rPr>
            </w:pPr>
            <w:r w:rsidRPr="00560E82">
              <w:rPr>
                <w:rFonts w:ascii="Helvetica" w:hAnsi="Helvetica"/>
                <w:sz w:val="20"/>
                <w:szCs w:val="20"/>
              </w:rPr>
              <w:t>SCKO</w:t>
            </w:r>
          </w:p>
        </w:tc>
      </w:tr>
      <w:tr w:rsidR="00B835CF" w:rsidRPr="00560E82" w14:paraId="6DBC0798" w14:textId="77777777" w:rsidTr="00303FB1">
        <w:tc>
          <w:tcPr>
            <w:tcW w:w="0" w:type="auto"/>
            <w:vAlign w:val="center"/>
          </w:tcPr>
          <w:p w14:paraId="33DE36CD" w14:textId="7DFBBEC9" w:rsidR="00B835CF" w:rsidRPr="00560E82" w:rsidRDefault="00B835CF" w:rsidP="00560E82">
            <w:pPr>
              <w:jc w:val="center"/>
              <w:rPr>
                <w:rFonts w:ascii="Helvetica" w:hAnsi="Helvetica"/>
                <w:sz w:val="20"/>
                <w:szCs w:val="20"/>
              </w:rPr>
            </w:pPr>
            <w:r w:rsidRPr="00560E82">
              <w:rPr>
                <w:rFonts w:ascii="Helvetica" w:hAnsi="Helvetica"/>
                <w:sz w:val="20"/>
                <w:szCs w:val="20"/>
              </w:rPr>
              <w:t>SKO</w:t>
            </w:r>
            <w:r w:rsidR="00560E82">
              <w:rPr>
                <w:rFonts w:ascii="Helvetica" w:hAnsi="Helvetica"/>
                <w:sz w:val="20"/>
                <w:szCs w:val="20"/>
                <w:vertAlign w:val="superscript"/>
              </w:rPr>
              <w:t>§</w:t>
            </w:r>
          </w:p>
        </w:tc>
        <w:tc>
          <w:tcPr>
            <w:tcW w:w="0" w:type="auto"/>
            <w:vAlign w:val="center"/>
          </w:tcPr>
          <w:p w14:paraId="6EE925D2"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w:t>
            </w:r>
          </w:p>
        </w:tc>
        <w:tc>
          <w:tcPr>
            <w:tcW w:w="0" w:type="auto"/>
            <w:vAlign w:val="center"/>
          </w:tcPr>
          <w:p w14:paraId="015CD0D8"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WT</w:t>
            </w:r>
          </w:p>
        </w:tc>
        <w:tc>
          <w:tcPr>
            <w:tcW w:w="0" w:type="auto"/>
            <w:vAlign w:val="center"/>
          </w:tcPr>
          <w:p w14:paraId="60C4A324"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CAG-CreER</w:t>
            </w:r>
            <w:r w:rsidRPr="00560E82">
              <w:rPr>
                <w:rFonts w:ascii="Helvetica" w:hAnsi="Helvetica"/>
                <w:sz w:val="20"/>
                <w:szCs w:val="20"/>
                <w:vertAlign w:val="superscript"/>
              </w:rPr>
              <w:t>T2</w:t>
            </w:r>
            <w:r w:rsidRPr="00560E82">
              <w:rPr>
                <w:rFonts w:ascii="Helvetica" w:hAnsi="Helvetica"/>
                <w:sz w:val="20"/>
                <w:szCs w:val="20"/>
              </w:rPr>
              <w:t>-ires-puroR</w:t>
            </w:r>
            <w:r w:rsidR="00303FB1" w:rsidRPr="00560E82">
              <w:rPr>
                <w:rFonts w:ascii="Helvetica" w:hAnsi="Helvetica"/>
                <w:sz w:val="20"/>
                <w:szCs w:val="20"/>
              </w:rPr>
              <w:t>*</w:t>
            </w:r>
          </w:p>
        </w:tc>
        <w:tc>
          <w:tcPr>
            <w:tcW w:w="0" w:type="auto"/>
            <w:vAlign w:val="center"/>
          </w:tcPr>
          <w:p w14:paraId="72B39084"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SCKO</w:t>
            </w:r>
          </w:p>
        </w:tc>
      </w:tr>
      <w:tr w:rsidR="00B835CF" w:rsidRPr="00560E82" w14:paraId="56AA3321" w14:textId="77777777" w:rsidTr="00303FB1">
        <w:tc>
          <w:tcPr>
            <w:tcW w:w="0" w:type="auto"/>
            <w:vAlign w:val="center"/>
          </w:tcPr>
          <w:p w14:paraId="617C44EF" w14:textId="655C6F14" w:rsidR="00B835CF" w:rsidRPr="00560E82" w:rsidRDefault="00B835CF" w:rsidP="00560E82">
            <w:pPr>
              <w:jc w:val="center"/>
              <w:rPr>
                <w:rFonts w:ascii="Helvetica" w:hAnsi="Helvetica"/>
                <w:sz w:val="20"/>
                <w:szCs w:val="20"/>
              </w:rPr>
            </w:pPr>
            <w:r w:rsidRPr="00560E82">
              <w:rPr>
                <w:rFonts w:ascii="Helvetica" w:hAnsi="Helvetica"/>
                <w:sz w:val="20"/>
                <w:szCs w:val="20"/>
              </w:rPr>
              <w:t>S3KO</w:t>
            </w:r>
            <w:r w:rsidR="00560E82">
              <w:rPr>
                <w:rFonts w:ascii="Helvetica" w:hAnsi="Helvetica"/>
                <w:sz w:val="20"/>
                <w:szCs w:val="20"/>
                <w:vertAlign w:val="superscript"/>
              </w:rPr>
              <w:t>§</w:t>
            </w:r>
          </w:p>
        </w:tc>
        <w:tc>
          <w:tcPr>
            <w:tcW w:w="0" w:type="auto"/>
            <w:vAlign w:val="center"/>
          </w:tcPr>
          <w:p w14:paraId="776D6242"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w:t>
            </w:r>
          </w:p>
        </w:tc>
        <w:tc>
          <w:tcPr>
            <w:tcW w:w="0" w:type="auto"/>
            <w:vAlign w:val="center"/>
          </w:tcPr>
          <w:p w14:paraId="3A5F6B39"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null</w:t>
            </w:r>
          </w:p>
        </w:tc>
        <w:tc>
          <w:tcPr>
            <w:tcW w:w="0" w:type="auto"/>
            <w:vAlign w:val="center"/>
          </w:tcPr>
          <w:p w14:paraId="79A13D40" w14:textId="77777777" w:rsidR="00B835CF" w:rsidRPr="00560E82" w:rsidRDefault="00B835CF" w:rsidP="00303FB1">
            <w:pPr>
              <w:jc w:val="center"/>
              <w:rPr>
                <w:rFonts w:ascii="Helvetica" w:hAnsi="Helvetica"/>
                <w:sz w:val="20"/>
                <w:szCs w:val="20"/>
              </w:rPr>
            </w:pPr>
          </w:p>
        </w:tc>
        <w:tc>
          <w:tcPr>
            <w:tcW w:w="0" w:type="auto"/>
            <w:vAlign w:val="center"/>
          </w:tcPr>
          <w:p w14:paraId="39B7AE65"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E14Tg2a</w:t>
            </w:r>
          </w:p>
        </w:tc>
      </w:tr>
      <w:tr w:rsidR="00B835CF" w:rsidRPr="00560E82" w14:paraId="64CE78C3" w14:textId="77777777" w:rsidTr="00303FB1">
        <w:tc>
          <w:tcPr>
            <w:tcW w:w="0" w:type="auto"/>
            <w:vAlign w:val="center"/>
          </w:tcPr>
          <w:p w14:paraId="5A785C0B"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Clones 36, 37</w:t>
            </w:r>
          </w:p>
        </w:tc>
        <w:tc>
          <w:tcPr>
            <w:tcW w:w="0" w:type="auto"/>
            <w:vAlign w:val="center"/>
          </w:tcPr>
          <w:p w14:paraId="566FF0C8"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Sox2</w:t>
            </w:r>
            <w:r w:rsidRPr="00560E82">
              <w:rPr>
                <w:rFonts w:ascii="Helvetica" w:hAnsi="Helvetica"/>
                <w:i/>
                <w:sz w:val="20"/>
                <w:szCs w:val="20"/>
                <w:vertAlign w:val="superscript"/>
              </w:rPr>
              <w:t>fl/-</w:t>
            </w:r>
          </w:p>
        </w:tc>
        <w:tc>
          <w:tcPr>
            <w:tcW w:w="0" w:type="auto"/>
            <w:vAlign w:val="center"/>
          </w:tcPr>
          <w:p w14:paraId="1F74F9E1" w14:textId="77777777" w:rsidR="00B835CF" w:rsidRPr="00560E82" w:rsidRDefault="00B835CF" w:rsidP="00303FB1">
            <w:pPr>
              <w:jc w:val="center"/>
              <w:rPr>
                <w:rFonts w:ascii="Helvetica" w:hAnsi="Helvetica"/>
                <w:i/>
                <w:sz w:val="20"/>
                <w:szCs w:val="20"/>
              </w:rPr>
            </w:pPr>
            <w:r w:rsidRPr="00560E82">
              <w:rPr>
                <w:rFonts w:ascii="Helvetica" w:hAnsi="Helvetica"/>
                <w:i/>
                <w:sz w:val="20"/>
                <w:szCs w:val="20"/>
              </w:rPr>
              <w:t>Sox3</w:t>
            </w:r>
            <w:r w:rsidRPr="00560E82">
              <w:rPr>
                <w:rFonts w:ascii="Helvetica" w:hAnsi="Helvetica"/>
                <w:i/>
                <w:sz w:val="20"/>
                <w:szCs w:val="20"/>
                <w:vertAlign w:val="superscript"/>
              </w:rPr>
              <w:t>null</w:t>
            </w:r>
          </w:p>
        </w:tc>
        <w:tc>
          <w:tcPr>
            <w:tcW w:w="0" w:type="auto"/>
            <w:vAlign w:val="center"/>
          </w:tcPr>
          <w:p w14:paraId="65A302AE"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CAG-CreER</w:t>
            </w:r>
            <w:r w:rsidRPr="00560E82">
              <w:rPr>
                <w:rFonts w:ascii="Helvetica" w:hAnsi="Helvetica"/>
                <w:sz w:val="20"/>
                <w:szCs w:val="20"/>
                <w:vertAlign w:val="superscript"/>
              </w:rPr>
              <w:t>T2</w:t>
            </w:r>
            <w:r w:rsidRPr="00560E82">
              <w:rPr>
                <w:rFonts w:ascii="Helvetica" w:hAnsi="Helvetica"/>
                <w:sz w:val="20"/>
                <w:szCs w:val="20"/>
              </w:rPr>
              <w:t>-ires-puroR</w:t>
            </w:r>
            <w:r w:rsidR="00303FB1" w:rsidRPr="00560E82">
              <w:rPr>
                <w:rFonts w:ascii="Helvetica" w:hAnsi="Helvetica"/>
                <w:sz w:val="20"/>
                <w:szCs w:val="20"/>
              </w:rPr>
              <w:t>*</w:t>
            </w:r>
          </w:p>
        </w:tc>
        <w:tc>
          <w:tcPr>
            <w:tcW w:w="0" w:type="auto"/>
            <w:vAlign w:val="center"/>
          </w:tcPr>
          <w:p w14:paraId="39AAB42A" w14:textId="77777777" w:rsidR="00B835CF" w:rsidRPr="00560E82" w:rsidRDefault="00B835CF" w:rsidP="00303FB1">
            <w:pPr>
              <w:jc w:val="center"/>
              <w:rPr>
                <w:rFonts w:ascii="Helvetica" w:hAnsi="Helvetica"/>
                <w:sz w:val="20"/>
                <w:szCs w:val="20"/>
              </w:rPr>
            </w:pPr>
            <w:r w:rsidRPr="00560E82">
              <w:rPr>
                <w:rFonts w:ascii="Helvetica" w:hAnsi="Helvetica"/>
                <w:sz w:val="20"/>
                <w:szCs w:val="20"/>
              </w:rPr>
              <w:t>SCKO</w:t>
            </w:r>
          </w:p>
        </w:tc>
      </w:tr>
    </w:tbl>
    <w:p w14:paraId="5FFBB1F2" w14:textId="77777777" w:rsidR="00303FB1" w:rsidRPr="00560E82" w:rsidRDefault="00303FB1">
      <w:pPr>
        <w:rPr>
          <w:rFonts w:ascii="Helvetica" w:hAnsi="Helvetica"/>
          <w:sz w:val="16"/>
          <w:szCs w:val="16"/>
          <w:vertAlign w:val="superscript"/>
        </w:rPr>
      </w:pPr>
    </w:p>
    <w:p w14:paraId="55E67A56" w14:textId="61F38DD6" w:rsidR="004761DE" w:rsidRPr="00560E82" w:rsidRDefault="00560E82">
      <w:pPr>
        <w:rPr>
          <w:rFonts w:ascii="Helvetica" w:hAnsi="Helvetica"/>
          <w:sz w:val="16"/>
          <w:szCs w:val="16"/>
        </w:rPr>
      </w:pPr>
      <w:r>
        <w:rPr>
          <w:rFonts w:ascii="Helvetica" w:hAnsi="Helvetica"/>
          <w:sz w:val="16"/>
          <w:szCs w:val="16"/>
          <w:vertAlign w:val="superscript"/>
        </w:rPr>
        <w:t>¶</w:t>
      </w:r>
      <w:r w:rsidR="00004E75" w:rsidRPr="00560E82">
        <w:rPr>
          <w:rFonts w:ascii="Helvetica" w:hAnsi="Helvetica"/>
          <w:sz w:val="16"/>
          <w:szCs w:val="16"/>
        </w:rPr>
        <w:t>o</w:t>
      </w:r>
      <w:r w:rsidR="004761DE" w:rsidRPr="00560E82">
        <w:rPr>
          <w:rFonts w:ascii="Helvetica" w:hAnsi="Helvetica"/>
          <w:sz w:val="16"/>
          <w:szCs w:val="16"/>
        </w:rPr>
        <w:t xml:space="preserve">n chromosome X, only one allele. </w:t>
      </w:r>
    </w:p>
    <w:p w14:paraId="05F024E4" w14:textId="0522BF03" w:rsidR="00B835CF" w:rsidRPr="00560E82" w:rsidRDefault="00560E82">
      <w:pPr>
        <w:rPr>
          <w:rFonts w:ascii="Helvetica" w:hAnsi="Helvetica"/>
          <w:sz w:val="16"/>
          <w:szCs w:val="16"/>
        </w:rPr>
      </w:pPr>
      <w:r>
        <w:rPr>
          <w:rFonts w:ascii="Helvetica" w:hAnsi="Helvetica"/>
          <w:sz w:val="16"/>
          <w:szCs w:val="16"/>
          <w:vertAlign w:val="superscript"/>
        </w:rPr>
        <w:t>§</w:t>
      </w:r>
      <w:r w:rsidR="00521427" w:rsidRPr="00560E82">
        <w:rPr>
          <w:rFonts w:ascii="Helvetica" w:hAnsi="Helvetica"/>
          <w:sz w:val="16"/>
          <w:szCs w:val="16"/>
        </w:rPr>
        <w:t>population</w:t>
      </w:r>
      <w:r w:rsidR="002107F6" w:rsidRPr="00560E82">
        <w:rPr>
          <w:rFonts w:ascii="Helvetica" w:hAnsi="Helvetica"/>
          <w:sz w:val="16"/>
          <w:szCs w:val="16"/>
        </w:rPr>
        <w:t xml:space="preserve"> of cells,</w:t>
      </w:r>
      <w:r w:rsidR="00521427" w:rsidRPr="00560E82">
        <w:rPr>
          <w:rFonts w:ascii="Helvetica" w:hAnsi="Helvetica"/>
          <w:sz w:val="16"/>
          <w:szCs w:val="16"/>
        </w:rPr>
        <w:t xml:space="preserve"> unless</w:t>
      </w:r>
      <w:r w:rsidR="00303FB1" w:rsidRPr="00560E82">
        <w:rPr>
          <w:rFonts w:ascii="Helvetica" w:hAnsi="Helvetica"/>
          <w:sz w:val="16"/>
          <w:szCs w:val="16"/>
        </w:rPr>
        <w:t xml:space="preserve"> followed by clone number.</w:t>
      </w:r>
    </w:p>
    <w:p w14:paraId="68C3E4AA" w14:textId="77777777" w:rsidR="00303FB1" w:rsidRPr="00560E82" w:rsidRDefault="00303FB1">
      <w:pPr>
        <w:rPr>
          <w:rFonts w:ascii="Helvetica" w:hAnsi="Helvetica"/>
          <w:sz w:val="16"/>
          <w:szCs w:val="16"/>
        </w:rPr>
      </w:pPr>
      <w:r w:rsidRPr="00560E82">
        <w:rPr>
          <w:rFonts w:ascii="Helvetica" w:hAnsi="Helvetica"/>
          <w:sz w:val="16"/>
          <w:szCs w:val="16"/>
        </w:rPr>
        <w:t xml:space="preserve">*randomly integrated transgene. </w:t>
      </w:r>
    </w:p>
    <w:sectPr w:rsidR="00303FB1" w:rsidRPr="00560E82" w:rsidSect="008A135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5CF"/>
    <w:rsid w:val="00004E75"/>
    <w:rsid w:val="00144FB6"/>
    <w:rsid w:val="002107F6"/>
    <w:rsid w:val="00303FB1"/>
    <w:rsid w:val="0037128C"/>
    <w:rsid w:val="004761DE"/>
    <w:rsid w:val="00521427"/>
    <w:rsid w:val="00560E82"/>
    <w:rsid w:val="005E072C"/>
    <w:rsid w:val="008A1358"/>
    <w:rsid w:val="008B681C"/>
    <w:rsid w:val="00982FCC"/>
    <w:rsid w:val="00A0787E"/>
    <w:rsid w:val="00AC00B9"/>
    <w:rsid w:val="00B835CF"/>
    <w:rsid w:val="00DC6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9B41A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0E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0E82"/>
    <w:rPr>
      <w:rFonts w:ascii="Lucida Grande" w:hAnsi="Lucida Grande" w:cs="Lucida Grande"/>
      <w:sz w:val="18"/>
      <w:szCs w:val="1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0E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0E82"/>
    <w:rPr>
      <w:rFonts w:ascii="Lucida Grande" w:hAnsi="Lucida Grande" w:cs="Lucida Grande"/>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853</Words>
  <Characters>4865</Characters>
  <Application>Microsoft Macintosh Word</Application>
  <DocSecurity>0</DocSecurity>
  <Lines>40</Lines>
  <Paragraphs>11</Paragraphs>
  <ScaleCrop>false</ScaleCrop>
  <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Corsinotti</dc:creator>
  <cp:keywords/>
  <dc:description/>
  <cp:lastModifiedBy>Andrea Corsinotti</cp:lastModifiedBy>
  <cp:revision>7</cp:revision>
  <dcterms:created xsi:type="dcterms:W3CDTF">2016-11-28T14:20:00Z</dcterms:created>
  <dcterms:modified xsi:type="dcterms:W3CDTF">2017-03-10T14:09:00Z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6061a189-9f17-31ff-b6be-87b71f499e41</vt:lpwstr>
  </property>
  <property fmtid="{D5CDD505-2E9C-101B-9397-08002B2CF9AE}" pid="4" name="Mendeley Citation Style_1">
    <vt:lpwstr>http://www.zotero.org/styles/the-embo-journal</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http://www.zotero.org/styles/the-embo-journal</vt:lpwstr>
  </property>
  <property fmtid="{D5CDD505-2E9C-101B-9397-08002B2CF9AE}" pid="24" name="Mendeley Recent Style Name 9_1">
    <vt:lpwstr>The EMBO Journal</vt:lpwstr>
  </property>
</Properties>
</file>