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0A6" w:rsidRDefault="00AB70A6" w:rsidP="00AB70A6">
      <w:pPr>
        <w:spacing w:line="240" w:lineRule="auto"/>
      </w:pPr>
      <w:proofErr w:type="gramStart"/>
      <w:r w:rsidRPr="00AB70A6">
        <w:rPr>
          <w:b/>
        </w:rPr>
        <w:t xml:space="preserve">Supplementary file </w:t>
      </w:r>
      <w:r w:rsidRPr="00AB70A6">
        <w:rPr>
          <w:b/>
        </w:rPr>
        <w:t>2</w:t>
      </w:r>
      <w:r w:rsidRPr="00AB70A6">
        <w:rPr>
          <w:b/>
        </w:rPr>
        <w:t>A.</w:t>
      </w:r>
      <w:proofErr w:type="gramEnd"/>
      <w:r w:rsidRPr="009A1276">
        <w:rPr>
          <w:b/>
        </w:rPr>
        <w:t xml:space="preserve"> </w:t>
      </w:r>
      <w:proofErr w:type="gramStart"/>
      <w:r>
        <w:rPr>
          <w:b/>
        </w:rPr>
        <w:t>Half-life of DHHC6 in different palmitoylation states.</w:t>
      </w:r>
      <w:proofErr w:type="gramEnd"/>
      <w:r>
        <w:rPr>
          <w:b/>
        </w:rPr>
        <w:t xml:space="preserve"> </w:t>
      </w:r>
      <w:r w:rsidRPr="00507C62">
        <w:t>The half-life was estimated from the decay rate constant obtained through parameter estimation. The half-life is calculate as</w:t>
      </w:r>
      <w:r>
        <w:t>:</w:t>
      </w:r>
      <w:r w:rsidRPr="00507C62">
        <w:t xml:space="preserve"> </w:t>
      </w:r>
      <w:proofErr w:type="spellStart"/>
      <w:proofErr w:type="gramStart"/>
      <w:r w:rsidRPr="00507C62">
        <w:t>ln</w:t>
      </w:r>
      <w:proofErr w:type="spellEnd"/>
      <w:r w:rsidRPr="00507C62">
        <w:t>(</w:t>
      </w:r>
      <w:proofErr w:type="gramEnd"/>
      <w:r w:rsidRPr="00507C62">
        <w:t>2)/</w:t>
      </w:r>
      <w:proofErr w:type="spellStart"/>
      <w:r w:rsidRPr="00507C62">
        <w:t>kd</w:t>
      </w:r>
      <w:proofErr w:type="spellEnd"/>
      <w:r w:rsidRPr="00507C62">
        <w:t>.</w:t>
      </w:r>
    </w:p>
    <w:p w:rsidR="00AB70A6" w:rsidRDefault="00AB70A6" w:rsidP="00AB70A6">
      <w:pPr>
        <w:spacing w:line="240" w:lineRule="auto"/>
        <w:rPr>
          <w:b/>
        </w:rPr>
      </w:pPr>
    </w:p>
    <w:p w:rsidR="00AB70A6" w:rsidRDefault="00AB70A6" w:rsidP="00AB70A6">
      <w:pPr>
        <w:rPr>
          <w:b/>
        </w:rPr>
      </w:pPr>
      <w:r w:rsidRPr="006B42AC">
        <w:rPr>
          <w:b/>
          <w:noProof/>
        </w:rPr>
        <w:drawing>
          <wp:inline distT="0" distB="0" distL="0" distR="0" wp14:anchorId="6A4F42B2" wp14:editId="7DBE8D50">
            <wp:extent cx="4914900" cy="2501900"/>
            <wp:effectExtent l="0" t="0" r="12700" b="1270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5"/>
                    <a:stretch>
                      <a:fillRect/>
                    </a:stretch>
                  </pic:blipFill>
                  <pic:spPr>
                    <a:xfrm>
                      <a:off x="0" y="0"/>
                      <a:ext cx="4914900" cy="2501900"/>
                    </a:xfrm>
                    <a:prstGeom prst="rect">
                      <a:avLst/>
                    </a:prstGeom>
                  </pic:spPr>
                </pic:pic>
              </a:graphicData>
            </a:graphic>
          </wp:inline>
        </w:drawing>
      </w:r>
    </w:p>
    <w:p w:rsidR="00AB70A6" w:rsidRDefault="00AB70A6" w:rsidP="00AB70A6">
      <w:pPr>
        <w:spacing w:line="240" w:lineRule="auto"/>
      </w:pPr>
      <w:bookmarkStart w:id="0" w:name="_GoBack"/>
      <w:proofErr w:type="gramStart"/>
      <w:r w:rsidRPr="00AB70A6">
        <w:rPr>
          <w:b/>
        </w:rPr>
        <w:t xml:space="preserve">Supplementary file </w:t>
      </w:r>
      <w:r w:rsidRPr="00AB70A6">
        <w:rPr>
          <w:b/>
        </w:rPr>
        <w:t>2B</w:t>
      </w:r>
      <w:r w:rsidRPr="00AB70A6">
        <w:rPr>
          <w:b/>
        </w:rPr>
        <w:t>.</w:t>
      </w:r>
      <w:proofErr w:type="gramEnd"/>
      <w:r w:rsidRPr="009A1276">
        <w:rPr>
          <w:b/>
        </w:rPr>
        <w:t xml:space="preserve"> </w:t>
      </w:r>
      <w:bookmarkEnd w:id="0"/>
      <w:proofErr w:type="gramStart"/>
      <w:r>
        <w:rPr>
          <w:b/>
        </w:rPr>
        <w:t>Total amount of protein in steady state relative to WT for WT and CAA mutant in different conditions.</w:t>
      </w:r>
      <w:proofErr w:type="gramEnd"/>
      <w:r>
        <w:rPr>
          <w:b/>
        </w:rPr>
        <w:t xml:space="preserve"> </w:t>
      </w:r>
      <w:r w:rsidRPr="00507C62">
        <w:t>The table shows the total protein in steady state in the model relative to the abundance of DHHC6 observed in steady state in WT conditions. Simulations are performed for WT and CAA mutant under control condition</w:t>
      </w:r>
      <w:r>
        <w:t>s</w:t>
      </w:r>
      <w:r w:rsidRPr="00507C62">
        <w:t>, after overexpression of DHHC16 and after silencing of APT2.</w:t>
      </w:r>
    </w:p>
    <w:p w:rsidR="00AB70A6" w:rsidRDefault="00AB70A6" w:rsidP="00AB70A6">
      <w:pPr>
        <w:spacing w:line="240" w:lineRule="auto"/>
      </w:pPr>
    </w:p>
    <w:p w:rsidR="00AB70A6" w:rsidRDefault="00AB70A6" w:rsidP="00AB70A6">
      <w:pPr>
        <w:spacing w:line="240" w:lineRule="auto"/>
      </w:pPr>
    </w:p>
    <w:p w:rsidR="00AB70A6" w:rsidRDefault="00AB70A6" w:rsidP="00AB70A6">
      <w:pPr>
        <w:rPr>
          <w:b/>
        </w:rPr>
      </w:pPr>
      <w:r w:rsidRPr="006B42AC">
        <w:rPr>
          <w:b/>
          <w:noProof/>
        </w:rPr>
        <w:drawing>
          <wp:inline distT="0" distB="0" distL="0" distR="0" wp14:anchorId="1240306C" wp14:editId="438E6A8A">
            <wp:extent cx="4889500" cy="2070100"/>
            <wp:effectExtent l="0" t="0" r="12700" b="1270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6"/>
                    <a:stretch>
                      <a:fillRect/>
                    </a:stretch>
                  </pic:blipFill>
                  <pic:spPr>
                    <a:xfrm>
                      <a:off x="0" y="0"/>
                      <a:ext cx="4889500" cy="2070100"/>
                    </a:xfrm>
                    <a:prstGeom prst="rect">
                      <a:avLst/>
                    </a:prstGeom>
                  </pic:spPr>
                </pic:pic>
              </a:graphicData>
            </a:graphic>
          </wp:inline>
        </w:drawing>
      </w:r>
    </w:p>
    <w:p w:rsidR="00AB70A6" w:rsidRDefault="00AB70A6" w:rsidP="00AB70A6">
      <w:pPr>
        <w:spacing w:line="240" w:lineRule="auto"/>
        <w:rPr>
          <w:b/>
        </w:rPr>
      </w:pPr>
    </w:p>
    <w:p w:rsidR="00F70430" w:rsidRDefault="00AB70A6"/>
    <w:sectPr w:rsidR="00F70430" w:rsidSect="00F7043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0A6"/>
    <w:rsid w:val="00AB70A6"/>
    <w:rsid w:val="00EB08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4BFCC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0A6"/>
    <w:pPr>
      <w:spacing w:line="480" w:lineRule="auto"/>
    </w:pPr>
    <w:rPr>
      <w:rFonts w:ascii="Arial" w:eastAsiaTheme="minorHAnsi" w:hAnsi="Arial"/>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70A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70A6"/>
    <w:rPr>
      <w:rFonts w:ascii="Lucida Grande" w:eastAsiaTheme="minorHAnsi"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0A6"/>
    <w:pPr>
      <w:spacing w:line="480" w:lineRule="auto"/>
    </w:pPr>
    <w:rPr>
      <w:rFonts w:ascii="Arial" w:eastAsiaTheme="minorHAnsi" w:hAnsi="Arial"/>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70A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70A6"/>
    <w:rPr>
      <w:rFonts w:ascii="Lucida Grande" w:eastAsiaTheme="minorHAnsi"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image" Target="media/image2.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531</Characters>
  <Application>Microsoft Macintosh Word</Application>
  <DocSecurity>0</DocSecurity>
  <Lines>4</Lines>
  <Paragraphs>1</Paragraphs>
  <ScaleCrop>false</ScaleCrop>
  <Company>EPFL</Company>
  <LinksUpToDate>false</LinksUpToDate>
  <CharactersWithSpaces>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Gisou Van Der Goot</dc:creator>
  <cp:keywords/>
  <dc:description/>
  <cp:lastModifiedBy>Gisou Van Der Goot</cp:lastModifiedBy>
  <cp:revision>1</cp:revision>
  <dcterms:created xsi:type="dcterms:W3CDTF">2017-05-04T13:46:00Z</dcterms:created>
  <dcterms:modified xsi:type="dcterms:W3CDTF">2017-05-04T13:57:00Z</dcterms:modified>
</cp:coreProperties>
</file>