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8D21DC" w14:textId="7CFA695F" w:rsidR="008C4BA5" w:rsidRPr="00D0226E" w:rsidRDefault="00263E29" w:rsidP="008C4BA5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Helvetica" w:hAnsi="Helvetica" w:cs="Times New Roman"/>
          <w:sz w:val="24"/>
          <w:szCs w:val="24"/>
          <w:lang w:val="en-GB"/>
        </w:rPr>
      </w:pPr>
      <w:r w:rsidRPr="00D0226E">
        <w:rPr>
          <w:rFonts w:ascii="Helvetica" w:hAnsi="Helvetica" w:cs="Times New Roman"/>
          <w:b/>
          <w:sz w:val="24"/>
          <w:szCs w:val="24"/>
        </w:rPr>
        <w:t>Figure</w:t>
      </w:r>
      <w:r w:rsidR="00F17BCA" w:rsidRPr="00D0226E">
        <w:rPr>
          <w:rFonts w:ascii="Helvetica" w:hAnsi="Helvetica" w:cs="Times New Roman"/>
          <w:b/>
          <w:sz w:val="24"/>
          <w:szCs w:val="24"/>
        </w:rPr>
        <w:t xml:space="preserve"> 6 – </w:t>
      </w:r>
      <w:r w:rsidR="00E318CD">
        <w:rPr>
          <w:rFonts w:ascii="Helvetica" w:hAnsi="Helvetica" w:cs="Times New Roman"/>
          <w:b/>
          <w:sz w:val="24"/>
          <w:szCs w:val="24"/>
        </w:rPr>
        <w:t>source data 1</w:t>
      </w:r>
      <w:r w:rsidR="008C4BA5" w:rsidRPr="00D0226E">
        <w:rPr>
          <w:rFonts w:ascii="Helvetica" w:hAnsi="Helvetica" w:cs="Times New Roman"/>
          <w:b/>
          <w:sz w:val="24"/>
          <w:szCs w:val="24"/>
        </w:rPr>
        <w:t xml:space="preserve">: </w:t>
      </w:r>
      <w:r w:rsidR="00D0226E" w:rsidRPr="00D0226E">
        <w:rPr>
          <w:rFonts w:ascii="Helvetica" w:hAnsi="Helvetica" w:cs="Times New Roman"/>
          <w:b/>
          <w:sz w:val="24"/>
          <w:szCs w:val="24"/>
        </w:rPr>
        <w:t>Antibody levels and 50% protection from clinical malaria.</w:t>
      </w:r>
      <w:r w:rsidR="00D0226E">
        <w:rPr>
          <w:rFonts w:ascii="Helvetica" w:hAnsi="Helvetica" w:cs="Times New Roman"/>
          <w:b/>
        </w:rPr>
        <w:t xml:space="preserve"> </w:t>
      </w:r>
      <w:r w:rsidR="008C4BA5" w:rsidRPr="00D0226E">
        <w:rPr>
          <w:rFonts w:ascii="Helvetica" w:hAnsi="Helvetica" w:cs="Times New Roman"/>
          <w:sz w:val="24"/>
          <w:szCs w:val="24"/>
          <w:lang w:val="en-GB"/>
        </w:rPr>
        <w:t xml:space="preserve">AB50 is the estimated antibody levels associated with a 50% probability of protection from </w:t>
      </w:r>
      <w:bookmarkStart w:id="0" w:name="_GoBack"/>
      <w:bookmarkEnd w:id="0"/>
      <w:r w:rsidR="008C4BA5" w:rsidRPr="00D0226E">
        <w:rPr>
          <w:rFonts w:ascii="Helvetica" w:hAnsi="Helvetica" w:cs="Times New Roman"/>
          <w:sz w:val="24"/>
          <w:szCs w:val="24"/>
          <w:lang w:val="en-GB"/>
        </w:rPr>
        <w:t xml:space="preserve">clinical malaria. Antibody levels are measured relative to a 1:100 dilution from a pool of plasma from immune Papua New Guinean adults. Estimates of AB50 are also presented as a proportion of the immune plasma pool. The maximum protection is the protection at an antibody level of 0.01. The median of the correlations of that antigen with the </w:t>
      </w:r>
      <w:r w:rsidR="0024316B">
        <w:rPr>
          <w:rFonts w:ascii="Helvetica" w:hAnsi="Helvetica" w:cs="Times New Roman"/>
          <w:sz w:val="24"/>
          <w:szCs w:val="24"/>
          <w:lang w:val="en-GB"/>
        </w:rPr>
        <w:t>other 37 antigens is presented.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9"/>
        <w:gridCol w:w="1171"/>
        <w:gridCol w:w="1121"/>
        <w:gridCol w:w="1391"/>
        <w:gridCol w:w="1295"/>
        <w:gridCol w:w="1308"/>
        <w:gridCol w:w="1345"/>
      </w:tblGrid>
      <w:tr w:rsidR="008C4BA5" w14:paraId="4C6791A1" w14:textId="77777777" w:rsidTr="008C4BA5">
        <w:tc>
          <w:tcPr>
            <w:tcW w:w="1524" w:type="dxa"/>
            <w:tcBorders>
              <w:top w:val="single" w:sz="4" w:space="0" w:color="auto"/>
              <w:bottom w:val="nil"/>
            </w:tcBorders>
          </w:tcPr>
          <w:p w14:paraId="6158BFEC" w14:textId="77777777" w:rsidR="008C4BA5" w:rsidRPr="004E1369" w:rsidRDefault="008C4BA5" w:rsidP="003B6D9E">
            <w:pPr>
              <w:rPr>
                <w:b/>
              </w:rPr>
            </w:pPr>
            <w:r>
              <w:rPr>
                <w:b/>
              </w:rPr>
              <w:t>A</w:t>
            </w:r>
            <w:r w:rsidRPr="004E1369">
              <w:rPr>
                <w:b/>
              </w:rPr>
              <w:t>ntigen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bottom w:val="nil"/>
            </w:tcBorders>
          </w:tcPr>
          <w:p w14:paraId="24C7BA1F" w14:textId="77777777" w:rsidR="008C4BA5" w:rsidRPr="00D445AB" w:rsidRDefault="008C4BA5" w:rsidP="003B6D9E">
            <w:pPr>
              <w:jc w:val="center"/>
              <w:rPr>
                <w:b/>
              </w:rPr>
            </w:pPr>
            <w:r w:rsidRPr="00D445AB">
              <w:rPr>
                <w:b/>
              </w:rPr>
              <w:t>AB</w:t>
            </w:r>
            <w:r w:rsidRPr="00D445AB">
              <w:rPr>
                <w:b/>
                <w:vertAlign w:val="subscript"/>
              </w:rPr>
              <w:t>50</w:t>
            </w:r>
          </w:p>
        </w:tc>
        <w:tc>
          <w:tcPr>
            <w:tcW w:w="1796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D3BF4A1" w14:textId="77777777" w:rsidR="008C4BA5" w:rsidRPr="00D445AB" w:rsidRDefault="008C4BA5" w:rsidP="003B6D9E">
            <w:pPr>
              <w:rPr>
                <w:b/>
              </w:rPr>
            </w:pPr>
            <w:r w:rsidRPr="00D445AB">
              <w:rPr>
                <w:b/>
              </w:rPr>
              <w:t xml:space="preserve">geometric mean </w:t>
            </w:r>
            <w:r>
              <w:rPr>
                <w:b/>
              </w:rPr>
              <w:t>antibody level</w:t>
            </w:r>
            <w:r w:rsidRPr="00D445AB">
              <w:rPr>
                <w:b/>
              </w:rPr>
              <w:t xml:space="preserve"> (GMT)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20249543" w14:textId="77777777" w:rsidR="008C4BA5" w:rsidRPr="00D445AB" w:rsidRDefault="008C4BA5" w:rsidP="003B6D9E">
            <w:pPr>
              <w:jc w:val="center"/>
              <w:rPr>
                <w:b/>
              </w:rPr>
            </w:pPr>
            <w:r w:rsidRPr="00D445AB">
              <w:rPr>
                <w:b/>
              </w:rPr>
              <w:t>proportion</w:t>
            </w:r>
          </w:p>
          <w:p w14:paraId="367EFDD6" w14:textId="77777777" w:rsidR="008C4BA5" w:rsidRPr="00D445AB" w:rsidRDefault="008C4BA5" w:rsidP="003B6D9E">
            <w:pPr>
              <w:jc w:val="center"/>
              <w:rPr>
                <w:b/>
                <w:vertAlign w:val="subscript"/>
              </w:rPr>
            </w:pPr>
            <w:r w:rsidRPr="00D445AB">
              <w:rPr>
                <w:b/>
              </w:rPr>
              <w:t>&gt; AB</w:t>
            </w:r>
            <w:r w:rsidRPr="00D445AB">
              <w:rPr>
                <w:b/>
                <w:vertAlign w:val="subscript"/>
              </w:rPr>
              <w:t>50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0DCD40F" w14:textId="77777777" w:rsidR="008C4BA5" w:rsidRPr="00D445AB" w:rsidRDefault="008C4BA5" w:rsidP="003B6D9E">
            <w:pPr>
              <w:rPr>
                <w:b/>
              </w:rPr>
            </w:pPr>
            <w:r w:rsidRPr="00D445AB">
              <w:rPr>
                <w:b/>
              </w:rPr>
              <w:t>maximum protection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72C00AB4" w14:textId="77777777" w:rsidR="008C4BA5" w:rsidRPr="00D445AB" w:rsidRDefault="008C4BA5" w:rsidP="003B6D9E">
            <w:pPr>
              <w:rPr>
                <w:b/>
              </w:rPr>
            </w:pPr>
            <w:r w:rsidRPr="00D445AB">
              <w:rPr>
                <w:b/>
              </w:rPr>
              <w:t>median correlation</w:t>
            </w:r>
          </w:p>
        </w:tc>
      </w:tr>
      <w:tr w:rsidR="008C4BA5" w14:paraId="5435957E" w14:textId="77777777" w:rsidTr="008C4BA5">
        <w:tc>
          <w:tcPr>
            <w:tcW w:w="1524" w:type="dxa"/>
            <w:tcBorders>
              <w:top w:val="nil"/>
              <w:bottom w:val="single" w:sz="4" w:space="0" w:color="auto"/>
            </w:tcBorders>
          </w:tcPr>
          <w:p w14:paraId="3C4A993E" w14:textId="77777777" w:rsidR="008C4BA5" w:rsidRDefault="008C4BA5" w:rsidP="003B6D9E"/>
        </w:tc>
        <w:tc>
          <w:tcPr>
            <w:tcW w:w="1345" w:type="dxa"/>
            <w:tcBorders>
              <w:top w:val="nil"/>
              <w:bottom w:val="single" w:sz="4" w:space="0" w:color="auto"/>
            </w:tcBorders>
          </w:tcPr>
          <w:p w14:paraId="14E5AB81" w14:textId="77777777" w:rsidR="008C4BA5" w:rsidRDefault="008C4BA5" w:rsidP="003B6D9E">
            <w:pPr>
              <w:jc w:val="center"/>
            </w:pPr>
            <w:r>
              <w:t>Antibody levels (arbitrary units)</w:t>
            </w:r>
          </w:p>
        </w:tc>
        <w:tc>
          <w:tcPr>
            <w:tcW w:w="1615" w:type="dxa"/>
            <w:tcBorders>
              <w:top w:val="nil"/>
              <w:bottom w:val="single" w:sz="4" w:space="0" w:color="auto"/>
            </w:tcBorders>
          </w:tcPr>
          <w:p w14:paraId="49F12E62" w14:textId="77777777" w:rsidR="008C4BA5" w:rsidRDefault="008C4BA5" w:rsidP="003B6D9E">
            <w:pPr>
              <w:jc w:val="center"/>
            </w:pPr>
            <w:r>
              <w:t>% of adult pool</w:t>
            </w:r>
          </w:p>
        </w:tc>
        <w:tc>
          <w:tcPr>
            <w:tcW w:w="179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48D3A1F" w14:textId="77777777" w:rsidR="008C4BA5" w:rsidRDefault="008C4BA5" w:rsidP="003B6D9E"/>
        </w:tc>
        <w:tc>
          <w:tcPr>
            <w:tcW w:w="14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8FB8CE7" w14:textId="77777777" w:rsidR="008C4BA5" w:rsidRDefault="008C4BA5" w:rsidP="003B6D9E"/>
        </w:tc>
        <w:tc>
          <w:tcPr>
            <w:tcW w:w="152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5596B5C" w14:textId="77777777" w:rsidR="008C4BA5" w:rsidRDefault="008C4BA5" w:rsidP="003B6D9E"/>
        </w:tc>
        <w:tc>
          <w:tcPr>
            <w:tcW w:w="154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2788290" w14:textId="77777777" w:rsidR="008C4BA5" w:rsidRDefault="008C4BA5" w:rsidP="003B6D9E"/>
        </w:tc>
      </w:tr>
      <w:tr w:rsidR="008C4BA5" w14:paraId="25DDF4C2" w14:textId="77777777" w:rsidTr="008C4BA5">
        <w:tc>
          <w:tcPr>
            <w:tcW w:w="1524" w:type="dxa"/>
            <w:tcBorders>
              <w:top w:val="single" w:sz="4" w:space="0" w:color="auto"/>
            </w:tcBorders>
          </w:tcPr>
          <w:p w14:paraId="26B4F20B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MSP9 N-term</w:t>
            </w:r>
          </w:p>
        </w:tc>
        <w:tc>
          <w:tcPr>
            <w:tcW w:w="1345" w:type="dxa"/>
            <w:tcBorders>
              <w:top w:val="single" w:sz="4" w:space="0" w:color="auto"/>
            </w:tcBorders>
          </w:tcPr>
          <w:p w14:paraId="06B65FB9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7.6 x 10</w:t>
            </w:r>
            <w:r w:rsidRPr="004E1369">
              <w:rPr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615" w:type="dxa"/>
            <w:tcBorders>
              <w:top w:val="single" w:sz="4" w:space="0" w:color="auto"/>
            </w:tcBorders>
          </w:tcPr>
          <w:p w14:paraId="1D82F9E0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0.</w:t>
            </w:r>
            <w:r>
              <w:rPr>
                <w:sz w:val="20"/>
                <w:szCs w:val="20"/>
              </w:rPr>
              <w:t>8</w:t>
            </w:r>
            <w:r w:rsidRPr="004E1369">
              <w:rPr>
                <w:sz w:val="20"/>
                <w:szCs w:val="20"/>
              </w:rPr>
              <w:t>%</w:t>
            </w:r>
          </w:p>
        </w:tc>
        <w:tc>
          <w:tcPr>
            <w:tcW w:w="1796" w:type="dxa"/>
            <w:tcBorders>
              <w:top w:val="single" w:sz="4" w:space="0" w:color="auto"/>
            </w:tcBorders>
          </w:tcPr>
          <w:p w14:paraId="44B8CCA8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9.2 x 10</w:t>
            </w:r>
            <w:r w:rsidRPr="004E1369">
              <w:rPr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428" w:type="dxa"/>
            <w:tcBorders>
              <w:top w:val="single" w:sz="4" w:space="0" w:color="auto"/>
            </w:tcBorders>
          </w:tcPr>
          <w:p w14:paraId="00903169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45.2%</w:t>
            </w:r>
          </w:p>
        </w:tc>
        <w:tc>
          <w:tcPr>
            <w:tcW w:w="1520" w:type="dxa"/>
            <w:tcBorders>
              <w:top w:val="single" w:sz="4" w:space="0" w:color="auto"/>
            </w:tcBorders>
          </w:tcPr>
          <w:p w14:paraId="36C43D98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51.3%</w:t>
            </w:r>
          </w:p>
        </w:tc>
        <w:tc>
          <w:tcPr>
            <w:tcW w:w="1542" w:type="dxa"/>
            <w:tcBorders>
              <w:top w:val="single" w:sz="4" w:space="0" w:color="auto"/>
            </w:tcBorders>
          </w:tcPr>
          <w:p w14:paraId="217BCFC1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0.180</w:t>
            </w:r>
          </w:p>
        </w:tc>
      </w:tr>
      <w:tr w:rsidR="008C4BA5" w14:paraId="4D33F133" w14:textId="77777777" w:rsidTr="008C4BA5">
        <w:tc>
          <w:tcPr>
            <w:tcW w:w="1524" w:type="dxa"/>
          </w:tcPr>
          <w:p w14:paraId="4F03818E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AMA1</w:t>
            </w:r>
          </w:p>
        </w:tc>
        <w:tc>
          <w:tcPr>
            <w:tcW w:w="1345" w:type="dxa"/>
          </w:tcPr>
          <w:p w14:paraId="548DFE93" w14:textId="77777777" w:rsidR="008C4BA5" w:rsidRPr="004E1369" w:rsidRDefault="008C4BA5" w:rsidP="003B6D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  <w:tc>
          <w:tcPr>
            <w:tcW w:w="1615" w:type="dxa"/>
          </w:tcPr>
          <w:p w14:paraId="666C2D02" w14:textId="77777777" w:rsidR="008C4BA5" w:rsidRPr="004E1369" w:rsidRDefault="008C4BA5" w:rsidP="003B6D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  <w:tc>
          <w:tcPr>
            <w:tcW w:w="1796" w:type="dxa"/>
          </w:tcPr>
          <w:p w14:paraId="5F079D3C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>1</w:t>
            </w:r>
            <w:r w:rsidRPr="004E1369">
              <w:rPr>
                <w:sz w:val="20"/>
                <w:szCs w:val="20"/>
              </w:rPr>
              <w:t xml:space="preserve"> x 10</w:t>
            </w:r>
            <w:r w:rsidRPr="004E1369">
              <w:rPr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428" w:type="dxa"/>
          </w:tcPr>
          <w:p w14:paraId="4227FC23" w14:textId="77777777" w:rsidR="008C4BA5" w:rsidRPr="004E1369" w:rsidRDefault="008C4BA5" w:rsidP="003B6D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  <w:tc>
          <w:tcPr>
            <w:tcW w:w="1520" w:type="dxa"/>
          </w:tcPr>
          <w:p w14:paraId="13008F6D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0.0%</w:t>
            </w:r>
          </w:p>
        </w:tc>
        <w:tc>
          <w:tcPr>
            <w:tcW w:w="1542" w:type="dxa"/>
          </w:tcPr>
          <w:p w14:paraId="178B11BB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0.329</w:t>
            </w:r>
          </w:p>
        </w:tc>
      </w:tr>
      <w:tr w:rsidR="008C4BA5" w14:paraId="4BDC674B" w14:textId="77777777" w:rsidTr="008C4BA5">
        <w:tc>
          <w:tcPr>
            <w:tcW w:w="1524" w:type="dxa"/>
          </w:tcPr>
          <w:p w14:paraId="5CB90931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MSP3a full</w:t>
            </w:r>
          </w:p>
        </w:tc>
        <w:tc>
          <w:tcPr>
            <w:tcW w:w="1345" w:type="dxa"/>
          </w:tcPr>
          <w:p w14:paraId="41A28A92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1.8 x 10</w:t>
            </w:r>
            <w:r w:rsidRPr="004E1369">
              <w:rPr>
                <w:sz w:val="20"/>
                <w:szCs w:val="20"/>
                <w:vertAlign w:val="superscript"/>
              </w:rPr>
              <w:t>-</w:t>
            </w:r>
            <w:r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615" w:type="dxa"/>
          </w:tcPr>
          <w:p w14:paraId="13AAE0DA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</w:t>
            </w:r>
            <w:r w:rsidRPr="004E136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8</w:t>
            </w:r>
            <w:r w:rsidRPr="004E1369">
              <w:rPr>
                <w:sz w:val="20"/>
                <w:szCs w:val="20"/>
              </w:rPr>
              <w:t>%</w:t>
            </w:r>
          </w:p>
        </w:tc>
        <w:tc>
          <w:tcPr>
            <w:tcW w:w="1796" w:type="dxa"/>
          </w:tcPr>
          <w:p w14:paraId="1D80CE8F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2</w:t>
            </w:r>
            <w:r w:rsidRPr="004E1369">
              <w:rPr>
                <w:sz w:val="20"/>
                <w:szCs w:val="20"/>
              </w:rPr>
              <w:t xml:space="preserve"> x 10</w:t>
            </w:r>
            <w:r w:rsidRPr="004E1369">
              <w:rPr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428" w:type="dxa"/>
          </w:tcPr>
          <w:p w14:paraId="718102BD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24.3%</w:t>
            </w:r>
          </w:p>
        </w:tc>
        <w:tc>
          <w:tcPr>
            <w:tcW w:w="1520" w:type="dxa"/>
          </w:tcPr>
          <w:p w14:paraId="7D52EEBD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50.8%</w:t>
            </w:r>
          </w:p>
        </w:tc>
        <w:tc>
          <w:tcPr>
            <w:tcW w:w="1542" w:type="dxa"/>
          </w:tcPr>
          <w:p w14:paraId="719DC005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0.426</w:t>
            </w:r>
          </w:p>
        </w:tc>
      </w:tr>
      <w:tr w:rsidR="008C4BA5" w14:paraId="2FC80A36" w14:textId="77777777" w:rsidTr="008C4BA5">
        <w:tc>
          <w:tcPr>
            <w:tcW w:w="1524" w:type="dxa"/>
          </w:tcPr>
          <w:p w14:paraId="61737C3D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MSP3a block1</w:t>
            </w:r>
          </w:p>
        </w:tc>
        <w:tc>
          <w:tcPr>
            <w:tcW w:w="1345" w:type="dxa"/>
          </w:tcPr>
          <w:p w14:paraId="267221C1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9.3 x 10</w:t>
            </w:r>
            <w:r w:rsidRPr="004E1369">
              <w:rPr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615" w:type="dxa"/>
          </w:tcPr>
          <w:p w14:paraId="0385AAAE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9.3%</w:t>
            </w:r>
          </w:p>
        </w:tc>
        <w:tc>
          <w:tcPr>
            <w:tcW w:w="1796" w:type="dxa"/>
          </w:tcPr>
          <w:p w14:paraId="39F18637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7.</w:t>
            </w:r>
            <w:r>
              <w:rPr>
                <w:sz w:val="20"/>
                <w:szCs w:val="20"/>
              </w:rPr>
              <w:t>9</w:t>
            </w:r>
            <w:r w:rsidRPr="004E1369">
              <w:rPr>
                <w:sz w:val="20"/>
                <w:szCs w:val="20"/>
              </w:rPr>
              <w:t xml:space="preserve"> x 10</w:t>
            </w:r>
            <w:r w:rsidRPr="004E1369">
              <w:rPr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428" w:type="dxa"/>
          </w:tcPr>
          <w:p w14:paraId="01B6BDE2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35.6%</w:t>
            </w:r>
          </w:p>
        </w:tc>
        <w:tc>
          <w:tcPr>
            <w:tcW w:w="1520" w:type="dxa"/>
          </w:tcPr>
          <w:p w14:paraId="5A9F28AB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56.9%</w:t>
            </w:r>
          </w:p>
        </w:tc>
        <w:tc>
          <w:tcPr>
            <w:tcW w:w="1542" w:type="dxa"/>
          </w:tcPr>
          <w:p w14:paraId="26E8105A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0.439</w:t>
            </w:r>
          </w:p>
        </w:tc>
      </w:tr>
      <w:tr w:rsidR="008C4BA5" w14:paraId="62309935" w14:textId="77777777" w:rsidTr="008C4BA5">
        <w:tc>
          <w:tcPr>
            <w:tcW w:w="1524" w:type="dxa"/>
          </w:tcPr>
          <w:p w14:paraId="283C9854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MSP3a block2</w:t>
            </w:r>
          </w:p>
        </w:tc>
        <w:tc>
          <w:tcPr>
            <w:tcW w:w="1345" w:type="dxa"/>
          </w:tcPr>
          <w:p w14:paraId="37AC98C5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7.3 x 10</w:t>
            </w:r>
            <w:r w:rsidRPr="004E1369">
              <w:rPr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615" w:type="dxa"/>
          </w:tcPr>
          <w:p w14:paraId="736D97A1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7.3%</w:t>
            </w:r>
          </w:p>
        </w:tc>
        <w:tc>
          <w:tcPr>
            <w:tcW w:w="1796" w:type="dxa"/>
          </w:tcPr>
          <w:p w14:paraId="4E5EE211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5.4 x 10</w:t>
            </w:r>
            <w:r w:rsidRPr="004E1369">
              <w:rPr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428" w:type="dxa"/>
          </w:tcPr>
          <w:p w14:paraId="29137347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27.4%</w:t>
            </w:r>
          </w:p>
        </w:tc>
        <w:tc>
          <w:tcPr>
            <w:tcW w:w="1520" w:type="dxa"/>
          </w:tcPr>
          <w:p w14:paraId="6A3A411C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50.2%</w:t>
            </w:r>
          </w:p>
        </w:tc>
        <w:tc>
          <w:tcPr>
            <w:tcW w:w="1542" w:type="dxa"/>
          </w:tcPr>
          <w:p w14:paraId="57E0B29A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0.398</w:t>
            </w:r>
          </w:p>
        </w:tc>
      </w:tr>
      <w:tr w:rsidR="008C4BA5" w14:paraId="200A8067" w14:textId="77777777" w:rsidTr="008C4BA5">
        <w:tc>
          <w:tcPr>
            <w:tcW w:w="1524" w:type="dxa"/>
          </w:tcPr>
          <w:p w14:paraId="7D72693B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MSP3a N-term</w:t>
            </w:r>
          </w:p>
        </w:tc>
        <w:tc>
          <w:tcPr>
            <w:tcW w:w="1345" w:type="dxa"/>
          </w:tcPr>
          <w:p w14:paraId="293BFA9D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1.5 x 10</w:t>
            </w:r>
            <w:r w:rsidRPr="004E1369">
              <w:rPr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615" w:type="dxa"/>
          </w:tcPr>
          <w:p w14:paraId="7D0A2E60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14.9%</w:t>
            </w:r>
          </w:p>
        </w:tc>
        <w:tc>
          <w:tcPr>
            <w:tcW w:w="1796" w:type="dxa"/>
          </w:tcPr>
          <w:p w14:paraId="0AA214CF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3</w:t>
            </w:r>
            <w:r w:rsidRPr="004E1369">
              <w:rPr>
                <w:sz w:val="20"/>
                <w:szCs w:val="20"/>
              </w:rPr>
              <w:t xml:space="preserve"> x 10</w:t>
            </w:r>
            <w:r w:rsidRPr="004E1369">
              <w:rPr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428" w:type="dxa"/>
          </w:tcPr>
          <w:p w14:paraId="07050D76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34.7%</w:t>
            </w:r>
          </w:p>
        </w:tc>
        <w:tc>
          <w:tcPr>
            <w:tcW w:w="1520" w:type="dxa"/>
          </w:tcPr>
          <w:p w14:paraId="67E22D8C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52.0%</w:t>
            </w:r>
          </w:p>
        </w:tc>
        <w:tc>
          <w:tcPr>
            <w:tcW w:w="1542" w:type="dxa"/>
          </w:tcPr>
          <w:p w14:paraId="6AFA5136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0.394</w:t>
            </w:r>
          </w:p>
        </w:tc>
      </w:tr>
      <w:tr w:rsidR="008C4BA5" w14:paraId="7252866C" w14:textId="77777777" w:rsidTr="008C4BA5">
        <w:tc>
          <w:tcPr>
            <w:tcW w:w="1524" w:type="dxa"/>
          </w:tcPr>
          <w:p w14:paraId="4DECA597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MSP3a C-term</w:t>
            </w:r>
          </w:p>
        </w:tc>
        <w:tc>
          <w:tcPr>
            <w:tcW w:w="1345" w:type="dxa"/>
          </w:tcPr>
          <w:p w14:paraId="0A997836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5.</w:t>
            </w:r>
            <w:r>
              <w:rPr>
                <w:sz w:val="20"/>
                <w:szCs w:val="20"/>
              </w:rPr>
              <w:t>2</w:t>
            </w:r>
            <w:r w:rsidRPr="004E1369">
              <w:rPr>
                <w:sz w:val="20"/>
                <w:szCs w:val="20"/>
              </w:rPr>
              <w:t xml:space="preserve"> x 10</w:t>
            </w:r>
            <w:r w:rsidRPr="004E1369">
              <w:rPr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615" w:type="dxa"/>
          </w:tcPr>
          <w:p w14:paraId="3CA567BD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4E136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5</w:t>
            </w:r>
            <w:r w:rsidRPr="004E1369">
              <w:rPr>
                <w:sz w:val="20"/>
                <w:szCs w:val="20"/>
              </w:rPr>
              <w:t>%</w:t>
            </w:r>
          </w:p>
        </w:tc>
        <w:tc>
          <w:tcPr>
            <w:tcW w:w="1796" w:type="dxa"/>
          </w:tcPr>
          <w:p w14:paraId="30899960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1</w:t>
            </w:r>
            <w:r w:rsidRPr="004E1369">
              <w:rPr>
                <w:sz w:val="20"/>
                <w:szCs w:val="20"/>
              </w:rPr>
              <w:t xml:space="preserve"> x 10</w:t>
            </w:r>
            <w:r w:rsidRPr="004E1369">
              <w:rPr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428" w:type="dxa"/>
          </w:tcPr>
          <w:p w14:paraId="29CDB7F1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67.2%</w:t>
            </w:r>
          </w:p>
        </w:tc>
        <w:tc>
          <w:tcPr>
            <w:tcW w:w="1520" w:type="dxa"/>
          </w:tcPr>
          <w:p w14:paraId="541657A4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52.2%</w:t>
            </w:r>
          </w:p>
        </w:tc>
        <w:tc>
          <w:tcPr>
            <w:tcW w:w="1542" w:type="dxa"/>
          </w:tcPr>
          <w:p w14:paraId="782D062B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0.212</w:t>
            </w:r>
          </w:p>
        </w:tc>
      </w:tr>
      <w:tr w:rsidR="008C4BA5" w14:paraId="6D88718D" w14:textId="77777777" w:rsidTr="008C4BA5">
        <w:tc>
          <w:tcPr>
            <w:tcW w:w="1524" w:type="dxa"/>
          </w:tcPr>
          <w:p w14:paraId="62FBBF2A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DBPII Sal1</w:t>
            </w:r>
          </w:p>
        </w:tc>
        <w:tc>
          <w:tcPr>
            <w:tcW w:w="1345" w:type="dxa"/>
          </w:tcPr>
          <w:p w14:paraId="6EE197AE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5</w:t>
            </w:r>
            <w:r w:rsidRPr="004E1369">
              <w:rPr>
                <w:sz w:val="20"/>
                <w:szCs w:val="20"/>
              </w:rPr>
              <w:t xml:space="preserve"> x 10</w:t>
            </w:r>
            <w:r w:rsidRPr="004E1369">
              <w:rPr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615" w:type="dxa"/>
          </w:tcPr>
          <w:p w14:paraId="5F84DDDA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14.9%</w:t>
            </w:r>
          </w:p>
        </w:tc>
        <w:tc>
          <w:tcPr>
            <w:tcW w:w="1796" w:type="dxa"/>
          </w:tcPr>
          <w:p w14:paraId="073FE6EA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4</w:t>
            </w:r>
            <w:r w:rsidRPr="004E1369">
              <w:rPr>
                <w:sz w:val="20"/>
                <w:szCs w:val="20"/>
              </w:rPr>
              <w:t xml:space="preserve"> x 10</w:t>
            </w:r>
            <w:r w:rsidRPr="004E1369">
              <w:rPr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428" w:type="dxa"/>
          </w:tcPr>
          <w:p w14:paraId="398A5602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3.9%</w:t>
            </w:r>
          </w:p>
        </w:tc>
        <w:tc>
          <w:tcPr>
            <w:tcW w:w="1520" w:type="dxa"/>
          </w:tcPr>
          <w:p w14:paraId="0B124AA5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93.3%</w:t>
            </w:r>
          </w:p>
        </w:tc>
        <w:tc>
          <w:tcPr>
            <w:tcW w:w="1542" w:type="dxa"/>
          </w:tcPr>
          <w:p w14:paraId="57C64D18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0.174</w:t>
            </w:r>
          </w:p>
        </w:tc>
      </w:tr>
      <w:tr w:rsidR="008C4BA5" w14:paraId="39F30EE3" w14:textId="77777777" w:rsidTr="008C4BA5">
        <w:tc>
          <w:tcPr>
            <w:tcW w:w="1524" w:type="dxa"/>
          </w:tcPr>
          <w:p w14:paraId="26791447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DBPII AH</w:t>
            </w:r>
          </w:p>
        </w:tc>
        <w:tc>
          <w:tcPr>
            <w:tcW w:w="1345" w:type="dxa"/>
          </w:tcPr>
          <w:p w14:paraId="0E0BAA8F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7</w:t>
            </w:r>
            <w:r w:rsidRPr="004E1369">
              <w:rPr>
                <w:sz w:val="20"/>
                <w:szCs w:val="20"/>
              </w:rPr>
              <w:t xml:space="preserve"> x 10</w:t>
            </w:r>
            <w:r w:rsidRPr="004E1369">
              <w:rPr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615" w:type="dxa"/>
          </w:tcPr>
          <w:p w14:paraId="709ADD5A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16.5%</w:t>
            </w:r>
          </w:p>
        </w:tc>
        <w:tc>
          <w:tcPr>
            <w:tcW w:w="1796" w:type="dxa"/>
          </w:tcPr>
          <w:p w14:paraId="002AC8C0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4</w:t>
            </w:r>
            <w:r w:rsidRPr="004E1369">
              <w:rPr>
                <w:sz w:val="20"/>
                <w:szCs w:val="20"/>
              </w:rPr>
              <w:t xml:space="preserve"> x 10</w:t>
            </w:r>
            <w:r w:rsidRPr="004E1369">
              <w:rPr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428" w:type="dxa"/>
          </w:tcPr>
          <w:p w14:paraId="04641564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2.7%</w:t>
            </w:r>
          </w:p>
        </w:tc>
        <w:tc>
          <w:tcPr>
            <w:tcW w:w="1520" w:type="dxa"/>
          </w:tcPr>
          <w:p w14:paraId="0E95542E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89.7%</w:t>
            </w:r>
          </w:p>
        </w:tc>
        <w:tc>
          <w:tcPr>
            <w:tcW w:w="1542" w:type="dxa"/>
          </w:tcPr>
          <w:p w14:paraId="11CB2910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0.181</w:t>
            </w:r>
          </w:p>
        </w:tc>
      </w:tr>
      <w:tr w:rsidR="008C4BA5" w14:paraId="1B0154D9" w14:textId="77777777" w:rsidTr="008C4BA5">
        <w:tc>
          <w:tcPr>
            <w:tcW w:w="1524" w:type="dxa"/>
          </w:tcPr>
          <w:p w14:paraId="3C8EE1E9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MSP1 19</w:t>
            </w:r>
          </w:p>
        </w:tc>
        <w:tc>
          <w:tcPr>
            <w:tcW w:w="1345" w:type="dxa"/>
          </w:tcPr>
          <w:p w14:paraId="507D75B8" w14:textId="77777777" w:rsidR="008C4BA5" w:rsidRPr="004E1369" w:rsidRDefault="008C4BA5" w:rsidP="003B6D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  <w:tc>
          <w:tcPr>
            <w:tcW w:w="1615" w:type="dxa"/>
          </w:tcPr>
          <w:p w14:paraId="7819F805" w14:textId="77777777" w:rsidR="008C4BA5" w:rsidRPr="004E1369" w:rsidRDefault="008C4BA5" w:rsidP="003B6D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  <w:tc>
          <w:tcPr>
            <w:tcW w:w="1796" w:type="dxa"/>
          </w:tcPr>
          <w:p w14:paraId="174CD267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>7</w:t>
            </w:r>
            <w:r w:rsidRPr="004E1369">
              <w:rPr>
                <w:sz w:val="20"/>
                <w:szCs w:val="20"/>
              </w:rPr>
              <w:t xml:space="preserve"> x 10</w:t>
            </w:r>
            <w:r w:rsidRPr="004E1369">
              <w:rPr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428" w:type="dxa"/>
          </w:tcPr>
          <w:p w14:paraId="7930732F" w14:textId="77777777" w:rsidR="008C4BA5" w:rsidRPr="004E1369" w:rsidRDefault="008C4BA5" w:rsidP="003B6D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  <w:tc>
          <w:tcPr>
            <w:tcW w:w="1520" w:type="dxa"/>
          </w:tcPr>
          <w:p w14:paraId="52BFD400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0.0%</w:t>
            </w:r>
          </w:p>
        </w:tc>
        <w:tc>
          <w:tcPr>
            <w:tcW w:w="1542" w:type="dxa"/>
          </w:tcPr>
          <w:p w14:paraId="2434DCA4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-0.011</w:t>
            </w:r>
          </w:p>
        </w:tc>
      </w:tr>
      <w:tr w:rsidR="008C4BA5" w14:paraId="4A66870D" w14:textId="77777777" w:rsidTr="008C4BA5">
        <w:tc>
          <w:tcPr>
            <w:tcW w:w="1524" w:type="dxa"/>
          </w:tcPr>
          <w:p w14:paraId="1D20D76F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DBPII C</w:t>
            </w:r>
          </w:p>
        </w:tc>
        <w:tc>
          <w:tcPr>
            <w:tcW w:w="1345" w:type="dxa"/>
          </w:tcPr>
          <w:p w14:paraId="0FF5858F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5.</w:t>
            </w:r>
            <w:r>
              <w:rPr>
                <w:sz w:val="20"/>
                <w:szCs w:val="20"/>
              </w:rPr>
              <w:t>5</w:t>
            </w:r>
            <w:r w:rsidRPr="004E1369">
              <w:rPr>
                <w:sz w:val="20"/>
                <w:szCs w:val="20"/>
              </w:rPr>
              <w:t xml:space="preserve"> x 10</w:t>
            </w:r>
            <w:r w:rsidRPr="004E1369">
              <w:rPr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615" w:type="dxa"/>
          </w:tcPr>
          <w:p w14:paraId="59117652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54.8%</w:t>
            </w:r>
          </w:p>
        </w:tc>
        <w:tc>
          <w:tcPr>
            <w:tcW w:w="1796" w:type="dxa"/>
          </w:tcPr>
          <w:p w14:paraId="0DF50A8C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2.3 x 10</w:t>
            </w:r>
            <w:r w:rsidRPr="004E1369">
              <w:rPr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428" w:type="dxa"/>
          </w:tcPr>
          <w:p w14:paraId="0CA25FC6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1.1%</w:t>
            </w:r>
          </w:p>
        </w:tc>
        <w:tc>
          <w:tcPr>
            <w:tcW w:w="1520" w:type="dxa"/>
          </w:tcPr>
          <w:p w14:paraId="4C40EA46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53.9%</w:t>
            </w:r>
          </w:p>
        </w:tc>
        <w:tc>
          <w:tcPr>
            <w:tcW w:w="1542" w:type="dxa"/>
          </w:tcPr>
          <w:p w14:paraId="716853DF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0.089</w:t>
            </w:r>
          </w:p>
        </w:tc>
      </w:tr>
      <w:tr w:rsidR="008C4BA5" w14:paraId="3404E2A2" w14:textId="77777777" w:rsidTr="008C4BA5">
        <w:tc>
          <w:tcPr>
            <w:tcW w:w="1524" w:type="dxa"/>
          </w:tcPr>
          <w:p w14:paraId="5A57CD12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DBPII P</w:t>
            </w:r>
          </w:p>
        </w:tc>
        <w:tc>
          <w:tcPr>
            <w:tcW w:w="1345" w:type="dxa"/>
          </w:tcPr>
          <w:p w14:paraId="75631316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7</w:t>
            </w:r>
            <w:r w:rsidRPr="004E1369">
              <w:rPr>
                <w:sz w:val="20"/>
                <w:szCs w:val="20"/>
              </w:rPr>
              <w:t xml:space="preserve"> x 10</w:t>
            </w:r>
            <w:r w:rsidRPr="004E1369">
              <w:rPr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615" w:type="dxa"/>
          </w:tcPr>
          <w:p w14:paraId="74E0343E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16.8%</w:t>
            </w:r>
          </w:p>
        </w:tc>
        <w:tc>
          <w:tcPr>
            <w:tcW w:w="1796" w:type="dxa"/>
          </w:tcPr>
          <w:p w14:paraId="58411519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4</w:t>
            </w:r>
            <w:r w:rsidRPr="004E1369">
              <w:rPr>
                <w:sz w:val="20"/>
                <w:szCs w:val="20"/>
              </w:rPr>
              <w:t xml:space="preserve"> x 10</w:t>
            </w:r>
            <w:r w:rsidRPr="004E1369">
              <w:rPr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428" w:type="dxa"/>
          </w:tcPr>
          <w:p w14:paraId="53D3538C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4.8%</w:t>
            </w:r>
          </w:p>
        </w:tc>
        <w:tc>
          <w:tcPr>
            <w:tcW w:w="1520" w:type="dxa"/>
          </w:tcPr>
          <w:p w14:paraId="6D38F82D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69.2%</w:t>
            </w:r>
          </w:p>
        </w:tc>
        <w:tc>
          <w:tcPr>
            <w:tcW w:w="1542" w:type="dxa"/>
          </w:tcPr>
          <w:p w14:paraId="3D95B9C7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0.091</w:t>
            </w:r>
          </w:p>
        </w:tc>
      </w:tr>
      <w:tr w:rsidR="008C4BA5" w14:paraId="69B1D28B" w14:textId="77777777" w:rsidTr="008C4BA5">
        <w:tc>
          <w:tcPr>
            <w:tcW w:w="1524" w:type="dxa"/>
          </w:tcPr>
          <w:p w14:paraId="3A772470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DBPII O</w:t>
            </w:r>
          </w:p>
        </w:tc>
        <w:tc>
          <w:tcPr>
            <w:tcW w:w="1345" w:type="dxa"/>
          </w:tcPr>
          <w:p w14:paraId="07BDB063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5.5 x 10</w:t>
            </w:r>
            <w:r w:rsidRPr="004E1369">
              <w:rPr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615" w:type="dxa"/>
          </w:tcPr>
          <w:p w14:paraId="13247553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55.3%</w:t>
            </w:r>
          </w:p>
        </w:tc>
        <w:tc>
          <w:tcPr>
            <w:tcW w:w="1796" w:type="dxa"/>
          </w:tcPr>
          <w:p w14:paraId="78B59CD5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3.4 x 10</w:t>
            </w:r>
            <w:r w:rsidRPr="004E1369">
              <w:rPr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428" w:type="dxa"/>
          </w:tcPr>
          <w:p w14:paraId="6A4E939C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1.9%</w:t>
            </w:r>
          </w:p>
        </w:tc>
        <w:tc>
          <w:tcPr>
            <w:tcW w:w="1520" w:type="dxa"/>
          </w:tcPr>
          <w:p w14:paraId="6381A7CE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70.7%</w:t>
            </w:r>
          </w:p>
        </w:tc>
        <w:tc>
          <w:tcPr>
            <w:tcW w:w="1542" w:type="dxa"/>
          </w:tcPr>
          <w:p w14:paraId="000F6567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0.127</w:t>
            </w:r>
          </w:p>
        </w:tc>
      </w:tr>
      <w:tr w:rsidR="008C4BA5" w14:paraId="24CC0366" w14:textId="77777777" w:rsidTr="008C4BA5">
        <w:tc>
          <w:tcPr>
            <w:tcW w:w="1524" w:type="dxa"/>
          </w:tcPr>
          <w:p w14:paraId="65E70C31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PVX_094350</w:t>
            </w:r>
          </w:p>
        </w:tc>
        <w:tc>
          <w:tcPr>
            <w:tcW w:w="1345" w:type="dxa"/>
          </w:tcPr>
          <w:p w14:paraId="6BCB9847" w14:textId="77777777" w:rsidR="008C4BA5" w:rsidRPr="004E1369" w:rsidRDefault="008C4BA5" w:rsidP="003B6D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  <w:tc>
          <w:tcPr>
            <w:tcW w:w="1615" w:type="dxa"/>
          </w:tcPr>
          <w:p w14:paraId="7C9DCBE2" w14:textId="77777777" w:rsidR="008C4BA5" w:rsidRPr="004E1369" w:rsidRDefault="008C4BA5" w:rsidP="003B6D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  <w:tc>
          <w:tcPr>
            <w:tcW w:w="1796" w:type="dxa"/>
          </w:tcPr>
          <w:p w14:paraId="4CA3931D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1.4 x 10</w:t>
            </w:r>
            <w:r w:rsidRPr="004E1369">
              <w:rPr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428" w:type="dxa"/>
          </w:tcPr>
          <w:p w14:paraId="3A4F9CAC" w14:textId="77777777" w:rsidR="008C4BA5" w:rsidRPr="004E1369" w:rsidRDefault="008C4BA5" w:rsidP="003B6D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  <w:tc>
          <w:tcPr>
            <w:tcW w:w="1520" w:type="dxa"/>
          </w:tcPr>
          <w:p w14:paraId="1B3A43DC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49.6%</w:t>
            </w:r>
          </w:p>
        </w:tc>
        <w:tc>
          <w:tcPr>
            <w:tcW w:w="1542" w:type="dxa"/>
          </w:tcPr>
          <w:p w14:paraId="254A0C71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0.360</w:t>
            </w:r>
          </w:p>
        </w:tc>
      </w:tr>
      <w:tr w:rsidR="008C4BA5" w14:paraId="369D1830" w14:textId="77777777" w:rsidTr="008C4BA5">
        <w:tc>
          <w:tcPr>
            <w:tcW w:w="1524" w:type="dxa"/>
          </w:tcPr>
          <w:p w14:paraId="41AB2A4F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PVX_087110</w:t>
            </w:r>
          </w:p>
        </w:tc>
        <w:tc>
          <w:tcPr>
            <w:tcW w:w="1345" w:type="dxa"/>
          </w:tcPr>
          <w:p w14:paraId="5E82F2C3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1</w:t>
            </w:r>
            <w:r w:rsidRPr="004E1369">
              <w:rPr>
                <w:sz w:val="20"/>
                <w:szCs w:val="20"/>
              </w:rPr>
              <w:t xml:space="preserve"> x 10</w:t>
            </w:r>
            <w:r w:rsidRPr="004E1369">
              <w:rPr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615" w:type="dxa"/>
          </w:tcPr>
          <w:p w14:paraId="60A8096A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10.6%</w:t>
            </w:r>
          </w:p>
        </w:tc>
        <w:tc>
          <w:tcPr>
            <w:tcW w:w="1796" w:type="dxa"/>
          </w:tcPr>
          <w:p w14:paraId="297E1AE6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1.3 x 10</w:t>
            </w:r>
            <w:r w:rsidRPr="004E1369">
              <w:rPr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428" w:type="dxa"/>
          </w:tcPr>
          <w:p w14:paraId="65DAB8E7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48.2%</w:t>
            </w:r>
          </w:p>
        </w:tc>
        <w:tc>
          <w:tcPr>
            <w:tcW w:w="1520" w:type="dxa"/>
          </w:tcPr>
          <w:p w14:paraId="12F45D79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51.9%</w:t>
            </w:r>
          </w:p>
        </w:tc>
        <w:tc>
          <w:tcPr>
            <w:tcW w:w="1542" w:type="dxa"/>
          </w:tcPr>
          <w:p w14:paraId="43B29F7B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0.282</w:t>
            </w:r>
          </w:p>
        </w:tc>
      </w:tr>
      <w:tr w:rsidR="008C4BA5" w14:paraId="1971C789" w14:textId="77777777" w:rsidTr="008C4BA5">
        <w:tc>
          <w:tcPr>
            <w:tcW w:w="1524" w:type="dxa"/>
          </w:tcPr>
          <w:p w14:paraId="43B5AF7F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PVX_087670</w:t>
            </w:r>
          </w:p>
        </w:tc>
        <w:tc>
          <w:tcPr>
            <w:tcW w:w="1345" w:type="dxa"/>
          </w:tcPr>
          <w:p w14:paraId="2C1A6E9C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1.13 x 10</w:t>
            </w:r>
            <w:r w:rsidRPr="004E1369">
              <w:rPr>
                <w:sz w:val="20"/>
                <w:szCs w:val="20"/>
                <w:vertAlign w:val="superscript"/>
              </w:rPr>
              <w:t>-2</w:t>
            </w:r>
          </w:p>
        </w:tc>
        <w:tc>
          <w:tcPr>
            <w:tcW w:w="1615" w:type="dxa"/>
          </w:tcPr>
          <w:p w14:paraId="0D12177D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113.5%</w:t>
            </w:r>
          </w:p>
        </w:tc>
        <w:tc>
          <w:tcPr>
            <w:tcW w:w="1796" w:type="dxa"/>
          </w:tcPr>
          <w:p w14:paraId="0A1BCE76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7</w:t>
            </w:r>
            <w:r w:rsidRPr="004E1369">
              <w:rPr>
                <w:sz w:val="20"/>
                <w:szCs w:val="20"/>
              </w:rPr>
              <w:t xml:space="preserve"> x 10</w:t>
            </w:r>
            <w:r w:rsidRPr="004E1369">
              <w:rPr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428" w:type="dxa"/>
          </w:tcPr>
          <w:p w14:paraId="67CC333F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2.0%</w:t>
            </w:r>
          </w:p>
        </w:tc>
        <w:tc>
          <w:tcPr>
            <w:tcW w:w="1520" w:type="dxa"/>
          </w:tcPr>
          <w:p w14:paraId="1FD6E270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49.7%</w:t>
            </w:r>
          </w:p>
        </w:tc>
        <w:tc>
          <w:tcPr>
            <w:tcW w:w="1542" w:type="dxa"/>
          </w:tcPr>
          <w:p w14:paraId="11B9A168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0.408</w:t>
            </w:r>
          </w:p>
        </w:tc>
      </w:tr>
      <w:tr w:rsidR="008C4BA5" w14:paraId="76FD667E" w14:textId="77777777" w:rsidTr="008C4BA5">
        <w:tc>
          <w:tcPr>
            <w:tcW w:w="1524" w:type="dxa"/>
          </w:tcPr>
          <w:p w14:paraId="3D008173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PVX_099930</w:t>
            </w:r>
          </w:p>
        </w:tc>
        <w:tc>
          <w:tcPr>
            <w:tcW w:w="1345" w:type="dxa"/>
          </w:tcPr>
          <w:p w14:paraId="5772F8D6" w14:textId="77777777" w:rsidR="008C4BA5" w:rsidRPr="004E1369" w:rsidRDefault="008C4BA5" w:rsidP="003B6D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  <w:tc>
          <w:tcPr>
            <w:tcW w:w="1615" w:type="dxa"/>
          </w:tcPr>
          <w:p w14:paraId="70C0FE55" w14:textId="77777777" w:rsidR="008C4BA5" w:rsidRPr="004E1369" w:rsidRDefault="008C4BA5" w:rsidP="003B6D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  <w:tc>
          <w:tcPr>
            <w:tcW w:w="1796" w:type="dxa"/>
          </w:tcPr>
          <w:p w14:paraId="36EA05DB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4</w:t>
            </w:r>
            <w:r w:rsidRPr="004E1369">
              <w:rPr>
                <w:sz w:val="20"/>
                <w:szCs w:val="20"/>
              </w:rPr>
              <w:t xml:space="preserve"> x 10</w:t>
            </w:r>
            <w:r w:rsidRPr="004E1369">
              <w:rPr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428" w:type="dxa"/>
          </w:tcPr>
          <w:p w14:paraId="4AEF6984" w14:textId="77777777" w:rsidR="008C4BA5" w:rsidRPr="004E1369" w:rsidRDefault="008C4BA5" w:rsidP="003B6D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  <w:tc>
          <w:tcPr>
            <w:tcW w:w="1520" w:type="dxa"/>
          </w:tcPr>
          <w:p w14:paraId="5DAFC751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49.0%</w:t>
            </w:r>
          </w:p>
        </w:tc>
        <w:tc>
          <w:tcPr>
            <w:tcW w:w="1542" w:type="dxa"/>
          </w:tcPr>
          <w:p w14:paraId="3B7E4A83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0.312</w:t>
            </w:r>
          </w:p>
        </w:tc>
      </w:tr>
      <w:tr w:rsidR="008C4BA5" w14:paraId="0D1F6119" w14:textId="77777777" w:rsidTr="008C4BA5">
        <w:tc>
          <w:tcPr>
            <w:tcW w:w="1524" w:type="dxa"/>
          </w:tcPr>
          <w:p w14:paraId="7251E6FB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lastRenderedPageBreak/>
              <w:t>PVX_122805-02</w:t>
            </w:r>
          </w:p>
        </w:tc>
        <w:tc>
          <w:tcPr>
            <w:tcW w:w="1345" w:type="dxa"/>
          </w:tcPr>
          <w:p w14:paraId="4B172B16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>3</w:t>
            </w:r>
            <w:r w:rsidRPr="004E1369">
              <w:rPr>
                <w:sz w:val="20"/>
                <w:szCs w:val="20"/>
              </w:rPr>
              <w:t xml:space="preserve"> x 10</w:t>
            </w:r>
            <w:r w:rsidRPr="004E1369">
              <w:rPr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615" w:type="dxa"/>
          </w:tcPr>
          <w:p w14:paraId="52DCC73A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42.7%</w:t>
            </w:r>
          </w:p>
        </w:tc>
        <w:tc>
          <w:tcPr>
            <w:tcW w:w="1796" w:type="dxa"/>
          </w:tcPr>
          <w:p w14:paraId="7AD3ECE9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4E136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</w:t>
            </w:r>
            <w:r w:rsidRPr="004E1369">
              <w:rPr>
                <w:sz w:val="20"/>
                <w:szCs w:val="20"/>
              </w:rPr>
              <w:t xml:space="preserve"> x 10</w:t>
            </w:r>
            <w:r w:rsidRPr="004E1369">
              <w:rPr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428" w:type="dxa"/>
          </w:tcPr>
          <w:p w14:paraId="2F34959D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11.7%</w:t>
            </w:r>
          </w:p>
        </w:tc>
        <w:tc>
          <w:tcPr>
            <w:tcW w:w="1520" w:type="dxa"/>
          </w:tcPr>
          <w:p w14:paraId="0F5C8254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50.3%</w:t>
            </w:r>
          </w:p>
        </w:tc>
        <w:tc>
          <w:tcPr>
            <w:tcW w:w="1542" w:type="dxa"/>
          </w:tcPr>
          <w:p w14:paraId="6B007F45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0.465</w:t>
            </w:r>
          </w:p>
        </w:tc>
      </w:tr>
      <w:tr w:rsidR="008C4BA5" w14:paraId="6C1FF2AB" w14:textId="77777777" w:rsidTr="008C4BA5">
        <w:tc>
          <w:tcPr>
            <w:tcW w:w="1524" w:type="dxa"/>
          </w:tcPr>
          <w:p w14:paraId="07DCA645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PVX_081330</w:t>
            </w:r>
          </w:p>
        </w:tc>
        <w:tc>
          <w:tcPr>
            <w:tcW w:w="1345" w:type="dxa"/>
          </w:tcPr>
          <w:p w14:paraId="36E362A9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1.3 x 10</w:t>
            </w:r>
            <w:r w:rsidRPr="004E1369">
              <w:rPr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615" w:type="dxa"/>
          </w:tcPr>
          <w:p w14:paraId="4C4CACB5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13.2%</w:t>
            </w:r>
          </w:p>
        </w:tc>
        <w:tc>
          <w:tcPr>
            <w:tcW w:w="1796" w:type="dxa"/>
          </w:tcPr>
          <w:p w14:paraId="348A8840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7</w:t>
            </w:r>
            <w:r w:rsidRPr="004E1369">
              <w:rPr>
                <w:sz w:val="20"/>
                <w:szCs w:val="20"/>
              </w:rPr>
              <w:t xml:space="preserve"> x 10</w:t>
            </w:r>
            <w:r w:rsidRPr="004E1369">
              <w:rPr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428" w:type="dxa"/>
          </w:tcPr>
          <w:p w14:paraId="4199D9B0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49.7%</w:t>
            </w:r>
          </w:p>
        </w:tc>
        <w:tc>
          <w:tcPr>
            <w:tcW w:w="1520" w:type="dxa"/>
          </w:tcPr>
          <w:p w14:paraId="464117FE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52.4%</w:t>
            </w:r>
          </w:p>
        </w:tc>
        <w:tc>
          <w:tcPr>
            <w:tcW w:w="1542" w:type="dxa"/>
          </w:tcPr>
          <w:p w14:paraId="4A424A0F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0.253</w:t>
            </w:r>
          </w:p>
        </w:tc>
      </w:tr>
      <w:tr w:rsidR="008C4BA5" w14:paraId="4641C384" w14:textId="77777777" w:rsidTr="008C4BA5">
        <w:tc>
          <w:tcPr>
            <w:tcW w:w="1524" w:type="dxa"/>
          </w:tcPr>
          <w:p w14:paraId="20AD866E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PVX_114330</w:t>
            </w:r>
          </w:p>
        </w:tc>
        <w:tc>
          <w:tcPr>
            <w:tcW w:w="1345" w:type="dxa"/>
          </w:tcPr>
          <w:p w14:paraId="3C0AEAA0" w14:textId="77777777" w:rsidR="008C4BA5" w:rsidRPr="004E1369" w:rsidRDefault="008C4BA5" w:rsidP="003B6D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  <w:tc>
          <w:tcPr>
            <w:tcW w:w="1615" w:type="dxa"/>
          </w:tcPr>
          <w:p w14:paraId="09D7CC9A" w14:textId="77777777" w:rsidR="008C4BA5" w:rsidRPr="004E1369" w:rsidRDefault="008C4BA5" w:rsidP="003B6D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  <w:tc>
          <w:tcPr>
            <w:tcW w:w="1796" w:type="dxa"/>
          </w:tcPr>
          <w:p w14:paraId="36D0E692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2.1 x 10</w:t>
            </w:r>
            <w:r w:rsidRPr="004E1369">
              <w:rPr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428" w:type="dxa"/>
          </w:tcPr>
          <w:p w14:paraId="072A327A" w14:textId="77777777" w:rsidR="008C4BA5" w:rsidRPr="004E1369" w:rsidRDefault="008C4BA5" w:rsidP="003B6D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  <w:tc>
          <w:tcPr>
            <w:tcW w:w="1520" w:type="dxa"/>
          </w:tcPr>
          <w:p w14:paraId="78DF3813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45.6%</w:t>
            </w:r>
          </w:p>
        </w:tc>
        <w:tc>
          <w:tcPr>
            <w:tcW w:w="1542" w:type="dxa"/>
          </w:tcPr>
          <w:p w14:paraId="2677353A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0.354</w:t>
            </w:r>
          </w:p>
        </w:tc>
      </w:tr>
      <w:tr w:rsidR="008C4BA5" w14:paraId="13D5109B" w14:textId="77777777" w:rsidTr="008C4BA5">
        <w:tc>
          <w:tcPr>
            <w:tcW w:w="1524" w:type="dxa"/>
          </w:tcPr>
          <w:p w14:paraId="63F689CD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PVX_088820</w:t>
            </w:r>
          </w:p>
        </w:tc>
        <w:tc>
          <w:tcPr>
            <w:tcW w:w="1345" w:type="dxa"/>
          </w:tcPr>
          <w:p w14:paraId="04115811" w14:textId="77777777" w:rsidR="008C4BA5" w:rsidRPr="004E1369" w:rsidRDefault="008C4BA5" w:rsidP="003B6D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  <w:tc>
          <w:tcPr>
            <w:tcW w:w="1615" w:type="dxa"/>
          </w:tcPr>
          <w:p w14:paraId="286C2871" w14:textId="77777777" w:rsidR="008C4BA5" w:rsidRPr="004E1369" w:rsidRDefault="008C4BA5" w:rsidP="003B6D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  <w:tc>
          <w:tcPr>
            <w:tcW w:w="1796" w:type="dxa"/>
          </w:tcPr>
          <w:p w14:paraId="58584D98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2.3 x 10</w:t>
            </w:r>
            <w:r w:rsidRPr="004E1369">
              <w:rPr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428" w:type="dxa"/>
          </w:tcPr>
          <w:p w14:paraId="4EA59231" w14:textId="77777777" w:rsidR="008C4BA5" w:rsidRPr="004E1369" w:rsidRDefault="008C4BA5" w:rsidP="003B6D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  <w:tc>
          <w:tcPr>
            <w:tcW w:w="1520" w:type="dxa"/>
          </w:tcPr>
          <w:p w14:paraId="40E630B3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44.3%</w:t>
            </w:r>
          </w:p>
        </w:tc>
        <w:tc>
          <w:tcPr>
            <w:tcW w:w="1542" w:type="dxa"/>
          </w:tcPr>
          <w:p w14:paraId="59E72721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0.397</w:t>
            </w:r>
          </w:p>
        </w:tc>
      </w:tr>
      <w:tr w:rsidR="008C4BA5" w14:paraId="1831ACDB" w14:textId="77777777" w:rsidTr="008C4BA5">
        <w:tc>
          <w:tcPr>
            <w:tcW w:w="1524" w:type="dxa"/>
          </w:tcPr>
          <w:p w14:paraId="6FEAC832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PVX_080665</w:t>
            </w:r>
          </w:p>
        </w:tc>
        <w:tc>
          <w:tcPr>
            <w:tcW w:w="1345" w:type="dxa"/>
          </w:tcPr>
          <w:p w14:paraId="1D0F27B8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5.6 x 10</w:t>
            </w:r>
            <w:r w:rsidRPr="004E1369">
              <w:rPr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615" w:type="dxa"/>
          </w:tcPr>
          <w:p w14:paraId="69737391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56.3%</w:t>
            </w:r>
          </w:p>
        </w:tc>
        <w:tc>
          <w:tcPr>
            <w:tcW w:w="1796" w:type="dxa"/>
          </w:tcPr>
          <w:p w14:paraId="0D256496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6.</w:t>
            </w:r>
            <w:r>
              <w:rPr>
                <w:sz w:val="20"/>
                <w:szCs w:val="20"/>
              </w:rPr>
              <w:t>6</w:t>
            </w:r>
            <w:r w:rsidRPr="004E1369">
              <w:rPr>
                <w:sz w:val="20"/>
                <w:szCs w:val="20"/>
              </w:rPr>
              <w:t xml:space="preserve"> x 10</w:t>
            </w:r>
            <w:r w:rsidRPr="004E1369">
              <w:rPr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428" w:type="dxa"/>
          </w:tcPr>
          <w:p w14:paraId="6E9078F9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1.3%</w:t>
            </w:r>
          </w:p>
        </w:tc>
        <w:tc>
          <w:tcPr>
            <w:tcW w:w="1520" w:type="dxa"/>
          </w:tcPr>
          <w:p w14:paraId="377DE849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54.5%</w:t>
            </w:r>
          </w:p>
        </w:tc>
        <w:tc>
          <w:tcPr>
            <w:tcW w:w="1542" w:type="dxa"/>
          </w:tcPr>
          <w:p w14:paraId="74450DDC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0.369</w:t>
            </w:r>
          </w:p>
        </w:tc>
      </w:tr>
      <w:tr w:rsidR="008C4BA5" w14:paraId="304E58EC" w14:textId="77777777" w:rsidTr="008C4BA5">
        <w:tc>
          <w:tcPr>
            <w:tcW w:w="1524" w:type="dxa"/>
          </w:tcPr>
          <w:p w14:paraId="44C111D1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PVX_092995</w:t>
            </w:r>
          </w:p>
        </w:tc>
        <w:tc>
          <w:tcPr>
            <w:tcW w:w="1345" w:type="dxa"/>
          </w:tcPr>
          <w:p w14:paraId="3DD56AF9" w14:textId="77777777" w:rsidR="008C4BA5" w:rsidRPr="004E1369" w:rsidRDefault="008C4BA5" w:rsidP="003B6D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  <w:tc>
          <w:tcPr>
            <w:tcW w:w="1615" w:type="dxa"/>
          </w:tcPr>
          <w:p w14:paraId="3F75A973" w14:textId="77777777" w:rsidR="008C4BA5" w:rsidRPr="004E1369" w:rsidRDefault="008C4BA5" w:rsidP="003B6D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  <w:tc>
          <w:tcPr>
            <w:tcW w:w="1796" w:type="dxa"/>
          </w:tcPr>
          <w:p w14:paraId="1FF27633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1.8 x 10</w:t>
            </w:r>
            <w:r w:rsidRPr="004E1369">
              <w:rPr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428" w:type="dxa"/>
          </w:tcPr>
          <w:p w14:paraId="33AD38B4" w14:textId="77777777" w:rsidR="008C4BA5" w:rsidRPr="004E1369" w:rsidRDefault="008C4BA5" w:rsidP="003B6D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  <w:tc>
          <w:tcPr>
            <w:tcW w:w="1520" w:type="dxa"/>
          </w:tcPr>
          <w:p w14:paraId="17651162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0.0%</w:t>
            </w:r>
          </w:p>
        </w:tc>
        <w:tc>
          <w:tcPr>
            <w:tcW w:w="1542" w:type="dxa"/>
          </w:tcPr>
          <w:p w14:paraId="1B5894BA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0.434</w:t>
            </w:r>
          </w:p>
        </w:tc>
      </w:tr>
      <w:tr w:rsidR="008C4BA5" w14:paraId="010013EC" w14:textId="77777777" w:rsidTr="008C4BA5">
        <w:tc>
          <w:tcPr>
            <w:tcW w:w="1524" w:type="dxa"/>
          </w:tcPr>
          <w:p w14:paraId="48B615CC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PVX_087885</w:t>
            </w:r>
          </w:p>
        </w:tc>
        <w:tc>
          <w:tcPr>
            <w:tcW w:w="1345" w:type="dxa"/>
          </w:tcPr>
          <w:p w14:paraId="0C6F1891" w14:textId="77777777" w:rsidR="008C4BA5" w:rsidRPr="004E1369" w:rsidRDefault="008C4BA5" w:rsidP="003B6D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  <w:tc>
          <w:tcPr>
            <w:tcW w:w="1615" w:type="dxa"/>
          </w:tcPr>
          <w:p w14:paraId="1D0E23E8" w14:textId="77777777" w:rsidR="008C4BA5" w:rsidRPr="004E1369" w:rsidRDefault="008C4BA5" w:rsidP="003B6D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  <w:tc>
          <w:tcPr>
            <w:tcW w:w="1796" w:type="dxa"/>
          </w:tcPr>
          <w:p w14:paraId="42843BB8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1.4 x 10</w:t>
            </w:r>
            <w:r w:rsidRPr="004E1369">
              <w:rPr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428" w:type="dxa"/>
          </w:tcPr>
          <w:p w14:paraId="65F3E3C6" w14:textId="77777777" w:rsidR="008C4BA5" w:rsidRPr="004E1369" w:rsidRDefault="008C4BA5" w:rsidP="003B6D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  <w:tc>
          <w:tcPr>
            <w:tcW w:w="1520" w:type="dxa"/>
          </w:tcPr>
          <w:p w14:paraId="58760C47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0.0%</w:t>
            </w:r>
          </w:p>
        </w:tc>
        <w:tc>
          <w:tcPr>
            <w:tcW w:w="1542" w:type="dxa"/>
          </w:tcPr>
          <w:p w14:paraId="43C1E878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0.264</w:t>
            </w:r>
          </w:p>
        </w:tc>
      </w:tr>
      <w:tr w:rsidR="008C4BA5" w14:paraId="4F6D86AB" w14:textId="77777777" w:rsidTr="008C4BA5">
        <w:tc>
          <w:tcPr>
            <w:tcW w:w="1524" w:type="dxa"/>
          </w:tcPr>
          <w:p w14:paraId="7B08ED6B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PVX_003795</w:t>
            </w:r>
          </w:p>
        </w:tc>
        <w:tc>
          <w:tcPr>
            <w:tcW w:w="1345" w:type="dxa"/>
          </w:tcPr>
          <w:p w14:paraId="208913EA" w14:textId="77777777" w:rsidR="008C4BA5" w:rsidRPr="004E1369" w:rsidRDefault="008C4BA5" w:rsidP="003B6D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  <w:tc>
          <w:tcPr>
            <w:tcW w:w="1615" w:type="dxa"/>
          </w:tcPr>
          <w:p w14:paraId="45CDC88E" w14:textId="77777777" w:rsidR="008C4BA5" w:rsidRPr="004E1369" w:rsidRDefault="008C4BA5" w:rsidP="003B6D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  <w:tc>
          <w:tcPr>
            <w:tcW w:w="1796" w:type="dxa"/>
          </w:tcPr>
          <w:p w14:paraId="0293D38B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9.3 x 10</w:t>
            </w:r>
            <w:r w:rsidRPr="004E1369">
              <w:rPr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428" w:type="dxa"/>
          </w:tcPr>
          <w:p w14:paraId="7C273ACF" w14:textId="77777777" w:rsidR="008C4BA5" w:rsidRPr="004E1369" w:rsidRDefault="008C4BA5" w:rsidP="003B6D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  <w:tc>
          <w:tcPr>
            <w:tcW w:w="1520" w:type="dxa"/>
          </w:tcPr>
          <w:p w14:paraId="080803B4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44.9%</w:t>
            </w:r>
          </w:p>
        </w:tc>
        <w:tc>
          <w:tcPr>
            <w:tcW w:w="1542" w:type="dxa"/>
          </w:tcPr>
          <w:p w14:paraId="3682B52E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0.326</w:t>
            </w:r>
          </w:p>
        </w:tc>
      </w:tr>
      <w:tr w:rsidR="008C4BA5" w14:paraId="294BA4C9" w14:textId="77777777" w:rsidTr="008C4BA5">
        <w:tc>
          <w:tcPr>
            <w:tcW w:w="1524" w:type="dxa"/>
          </w:tcPr>
          <w:p w14:paraId="37D4299C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RBP1a</w:t>
            </w:r>
          </w:p>
        </w:tc>
        <w:tc>
          <w:tcPr>
            <w:tcW w:w="1345" w:type="dxa"/>
          </w:tcPr>
          <w:p w14:paraId="614D1731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4.0 x 10</w:t>
            </w:r>
            <w:r w:rsidRPr="004E1369">
              <w:rPr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615" w:type="dxa"/>
          </w:tcPr>
          <w:p w14:paraId="657FA49D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4.0%</w:t>
            </w:r>
          </w:p>
        </w:tc>
        <w:tc>
          <w:tcPr>
            <w:tcW w:w="1796" w:type="dxa"/>
          </w:tcPr>
          <w:p w14:paraId="6CDB17DD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4.0 x 10</w:t>
            </w:r>
            <w:r w:rsidRPr="004E1369">
              <w:rPr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428" w:type="dxa"/>
          </w:tcPr>
          <w:p w14:paraId="2C2F6AA7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39.0%</w:t>
            </w:r>
          </w:p>
        </w:tc>
        <w:tc>
          <w:tcPr>
            <w:tcW w:w="1520" w:type="dxa"/>
          </w:tcPr>
          <w:p w14:paraId="321B5BC4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53.2%</w:t>
            </w:r>
          </w:p>
        </w:tc>
        <w:tc>
          <w:tcPr>
            <w:tcW w:w="1542" w:type="dxa"/>
          </w:tcPr>
          <w:p w14:paraId="5E9C3289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0.242</w:t>
            </w:r>
          </w:p>
        </w:tc>
      </w:tr>
      <w:tr w:rsidR="008C4BA5" w14:paraId="0B82CD9C" w14:textId="77777777" w:rsidTr="008C4BA5">
        <w:tc>
          <w:tcPr>
            <w:tcW w:w="1524" w:type="dxa"/>
          </w:tcPr>
          <w:p w14:paraId="55FD85E4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RBP2a</w:t>
            </w:r>
          </w:p>
        </w:tc>
        <w:tc>
          <w:tcPr>
            <w:tcW w:w="1345" w:type="dxa"/>
          </w:tcPr>
          <w:p w14:paraId="7A06519E" w14:textId="77777777" w:rsidR="008C4BA5" w:rsidRPr="004E1369" w:rsidRDefault="008C4BA5" w:rsidP="003B6D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  <w:tc>
          <w:tcPr>
            <w:tcW w:w="1615" w:type="dxa"/>
          </w:tcPr>
          <w:p w14:paraId="5F7619C6" w14:textId="77777777" w:rsidR="008C4BA5" w:rsidRPr="004E1369" w:rsidRDefault="008C4BA5" w:rsidP="003B6D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  <w:tc>
          <w:tcPr>
            <w:tcW w:w="1796" w:type="dxa"/>
          </w:tcPr>
          <w:p w14:paraId="50C7B90A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8.5 x 10</w:t>
            </w:r>
            <w:r w:rsidRPr="004E1369">
              <w:rPr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428" w:type="dxa"/>
          </w:tcPr>
          <w:p w14:paraId="191294FE" w14:textId="77777777" w:rsidR="008C4BA5" w:rsidRPr="004E1369" w:rsidRDefault="008C4BA5" w:rsidP="003B6D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  <w:tc>
          <w:tcPr>
            <w:tcW w:w="1520" w:type="dxa"/>
          </w:tcPr>
          <w:p w14:paraId="78EA9E60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0.0%</w:t>
            </w:r>
          </w:p>
        </w:tc>
        <w:tc>
          <w:tcPr>
            <w:tcW w:w="1542" w:type="dxa"/>
          </w:tcPr>
          <w:p w14:paraId="5BCABB5D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0.226</w:t>
            </w:r>
          </w:p>
        </w:tc>
      </w:tr>
      <w:tr w:rsidR="008C4BA5" w14:paraId="2F8F88A5" w14:textId="77777777" w:rsidTr="008C4BA5">
        <w:tc>
          <w:tcPr>
            <w:tcW w:w="1524" w:type="dxa"/>
          </w:tcPr>
          <w:p w14:paraId="34167F96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RBP2c</w:t>
            </w:r>
          </w:p>
        </w:tc>
        <w:tc>
          <w:tcPr>
            <w:tcW w:w="1345" w:type="dxa"/>
          </w:tcPr>
          <w:p w14:paraId="5E2973E2" w14:textId="77777777" w:rsidR="008C4BA5" w:rsidRPr="004E1369" w:rsidRDefault="008C4BA5" w:rsidP="003B6D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  <w:tc>
          <w:tcPr>
            <w:tcW w:w="1615" w:type="dxa"/>
          </w:tcPr>
          <w:p w14:paraId="774F8F7F" w14:textId="77777777" w:rsidR="008C4BA5" w:rsidRPr="004E1369" w:rsidRDefault="008C4BA5" w:rsidP="003B6D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  <w:tc>
          <w:tcPr>
            <w:tcW w:w="1796" w:type="dxa"/>
          </w:tcPr>
          <w:p w14:paraId="4240F8A4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4E136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</w:t>
            </w:r>
            <w:r w:rsidRPr="004E1369">
              <w:rPr>
                <w:sz w:val="20"/>
                <w:szCs w:val="20"/>
              </w:rPr>
              <w:t xml:space="preserve"> x 10</w:t>
            </w:r>
            <w:r w:rsidRPr="004E1369">
              <w:rPr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428" w:type="dxa"/>
          </w:tcPr>
          <w:p w14:paraId="518F8F02" w14:textId="77777777" w:rsidR="008C4BA5" w:rsidRPr="004E1369" w:rsidRDefault="008C4BA5" w:rsidP="003B6D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  <w:tc>
          <w:tcPr>
            <w:tcW w:w="1520" w:type="dxa"/>
          </w:tcPr>
          <w:p w14:paraId="0B6E1AFE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0.0%</w:t>
            </w:r>
          </w:p>
        </w:tc>
        <w:tc>
          <w:tcPr>
            <w:tcW w:w="1542" w:type="dxa"/>
          </w:tcPr>
          <w:p w14:paraId="1A0E3EE5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0.339</w:t>
            </w:r>
          </w:p>
        </w:tc>
      </w:tr>
      <w:tr w:rsidR="008C4BA5" w14:paraId="4CF8056D" w14:textId="77777777" w:rsidTr="008C4BA5">
        <w:tc>
          <w:tcPr>
            <w:tcW w:w="1524" w:type="dxa"/>
          </w:tcPr>
          <w:p w14:paraId="3079F749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RBP2b</w:t>
            </w:r>
          </w:p>
        </w:tc>
        <w:tc>
          <w:tcPr>
            <w:tcW w:w="1345" w:type="dxa"/>
          </w:tcPr>
          <w:p w14:paraId="52108116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8.</w:t>
            </w:r>
            <w:r>
              <w:rPr>
                <w:sz w:val="20"/>
                <w:szCs w:val="20"/>
              </w:rPr>
              <w:t>4</w:t>
            </w:r>
            <w:r w:rsidRPr="004E1369">
              <w:rPr>
                <w:sz w:val="20"/>
                <w:szCs w:val="20"/>
              </w:rPr>
              <w:t xml:space="preserve"> x 10</w:t>
            </w:r>
            <w:r w:rsidRPr="004E1369">
              <w:rPr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615" w:type="dxa"/>
          </w:tcPr>
          <w:p w14:paraId="5E351377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8.</w:t>
            </w:r>
            <w:r>
              <w:rPr>
                <w:sz w:val="20"/>
                <w:szCs w:val="20"/>
              </w:rPr>
              <w:t>4</w:t>
            </w:r>
            <w:r w:rsidRPr="004E1369">
              <w:rPr>
                <w:sz w:val="20"/>
                <w:szCs w:val="20"/>
              </w:rPr>
              <w:t>%</w:t>
            </w:r>
          </w:p>
        </w:tc>
        <w:tc>
          <w:tcPr>
            <w:tcW w:w="1796" w:type="dxa"/>
          </w:tcPr>
          <w:p w14:paraId="35389A57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2</w:t>
            </w:r>
            <w:r w:rsidRPr="004E1369">
              <w:rPr>
                <w:sz w:val="20"/>
                <w:szCs w:val="20"/>
              </w:rPr>
              <w:t xml:space="preserve"> x 10</w:t>
            </w:r>
            <w:r w:rsidRPr="004E1369">
              <w:rPr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428" w:type="dxa"/>
          </w:tcPr>
          <w:p w14:paraId="5785DAD7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55.4%</w:t>
            </w:r>
          </w:p>
        </w:tc>
        <w:tc>
          <w:tcPr>
            <w:tcW w:w="1520" w:type="dxa"/>
          </w:tcPr>
          <w:p w14:paraId="45293EC6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66.6%</w:t>
            </w:r>
          </w:p>
        </w:tc>
        <w:tc>
          <w:tcPr>
            <w:tcW w:w="1542" w:type="dxa"/>
          </w:tcPr>
          <w:p w14:paraId="5A5A1582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0.464</w:t>
            </w:r>
          </w:p>
        </w:tc>
      </w:tr>
      <w:tr w:rsidR="008C4BA5" w14:paraId="192E4B90" w14:textId="77777777" w:rsidTr="008C4BA5">
        <w:tc>
          <w:tcPr>
            <w:tcW w:w="1524" w:type="dxa"/>
          </w:tcPr>
          <w:p w14:paraId="61F50156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RBP2-P2</w:t>
            </w:r>
          </w:p>
        </w:tc>
        <w:tc>
          <w:tcPr>
            <w:tcW w:w="1345" w:type="dxa"/>
          </w:tcPr>
          <w:p w14:paraId="0F4118D0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6.5 x 10</w:t>
            </w:r>
            <w:r w:rsidRPr="004E1369">
              <w:rPr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615" w:type="dxa"/>
          </w:tcPr>
          <w:p w14:paraId="4F618B80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6.5%</w:t>
            </w:r>
          </w:p>
        </w:tc>
        <w:tc>
          <w:tcPr>
            <w:tcW w:w="1796" w:type="dxa"/>
          </w:tcPr>
          <w:p w14:paraId="6C318038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7</w:t>
            </w:r>
            <w:r w:rsidRPr="004E1369">
              <w:rPr>
                <w:sz w:val="20"/>
                <w:szCs w:val="20"/>
              </w:rPr>
              <w:t xml:space="preserve"> x 10</w:t>
            </w:r>
            <w:r w:rsidRPr="004E1369">
              <w:rPr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428" w:type="dxa"/>
          </w:tcPr>
          <w:p w14:paraId="4210D290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73.2%</w:t>
            </w:r>
          </w:p>
        </w:tc>
        <w:tc>
          <w:tcPr>
            <w:tcW w:w="1520" w:type="dxa"/>
          </w:tcPr>
          <w:p w14:paraId="1A6ABFA6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54.9%</w:t>
            </w:r>
          </w:p>
        </w:tc>
        <w:tc>
          <w:tcPr>
            <w:tcW w:w="1542" w:type="dxa"/>
          </w:tcPr>
          <w:p w14:paraId="0C46F4E9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0.331</w:t>
            </w:r>
          </w:p>
        </w:tc>
      </w:tr>
      <w:tr w:rsidR="008C4BA5" w14:paraId="14AE4B30" w14:textId="77777777" w:rsidTr="008C4BA5">
        <w:tc>
          <w:tcPr>
            <w:tcW w:w="1524" w:type="dxa"/>
          </w:tcPr>
          <w:p w14:paraId="2015A0A4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CSP</w:t>
            </w:r>
          </w:p>
        </w:tc>
        <w:tc>
          <w:tcPr>
            <w:tcW w:w="1345" w:type="dxa"/>
          </w:tcPr>
          <w:p w14:paraId="78C0786F" w14:textId="77777777" w:rsidR="008C4BA5" w:rsidRPr="004E1369" w:rsidRDefault="008C4BA5" w:rsidP="003B6D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  <w:tc>
          <w:tcPr>
            <w:tcW w:w="1615" w:type="dxa"/>
          </w:tcPr>
          <w:p w14:paraId="0AD937C2" w14:textId="77777777" w:rsidR="008C4BA5" w:rsidRPr="004E1369" w:rsidRDefault="008C4BA5" w:rsidP="003B6D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  <w:tc>
          <w:tcPr>
            <w:tcW w:w="1796" w:type="dxa"/>
          </w:tcPr>
          <w:p w14:paraId="4A3CC3A6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1.4 x 10</w:t>
            </w:r>
            <w:r w:rsidRPr="004E1369">
              <w:rPr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428" w:type="dxa"/>
          </w:tcPr>
          <w:p w14:paraId="182A9DA9" w14:textId="77777777" w:rsidR="008C4BA5" w:rsidRPr="004E1369" w:rsidRDefault="008C4BA5" w:rsidP="003B6D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  <w:tc>
          <w:tcPr>
            <w:tcW w:w="1520" w:type="dxa"/>
          </w:tcPr>
          <w:p w14:paraId="35EF1484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0.0%</w:t>
            </w:r>
          </w:p>
        </w:tc>
        <w:tc>
          <w:tcPr>
            <w:tcW w:w="1542" w:type="dxa"/>
          </w:tcPr>
          <w:p w14:paraId="2FF2E7AB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0.187</w:t>
            </w:r>
          </w:p>
        </w:tc>
      </w:tr>
      <w:tr w:rsidR="008C4BA5" w14:paraId="7245B5A0" w14:textId="77777777" w:rsidTr="008C4BA5">
        <w:tc>
          <w:tcPr>
            <w:tcW w:w="1524" w:type="dxa"/>
          </w:tcPr>
          <w:p w14:paraId="7D872F86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ARP</w:t>
            </w:r>
          </w:p>
        </w:tc>
        <w:tc>
          <w:tcPr>
            <w:tcW w:w="1345" w:type="dxa"/>
          </w:tcPr>
          <w:p w14:paraId="463725A2" w14:textId="77777777" w:rsidR="008C4BA5" w:rsidRPr="004E1369" w:rsidRDefault="008C4BA5" w:rsidP="003B6D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  <w:tc>
          <w:tcPr>
            <w:tcW w:w="1615" w:type="dxa"/>
          </w:tcPr>
          <w:p w14:paraId="4CAB9EBA" w14:textId="77777777" w:rsidR="008C4BA5" w:rsidRPr="004E1369" w:rsidRDefault="008C4BA5" w:rsidP="003B6D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  <w:tc>
          <w:tcPr>
            <w:tcW w:w="1796" w:type="dxa"/>
          </w:tcPr>
          <w:p w14:paraId="6EF52E78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4.0 x 10</w:t>
            </w:r>
            <w:r w:rsidRPr="004E1369">
              <w:rPr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428" w:type="dxa"/>
          </w:tcPr>
          <w:p w14:paraId="4F0496D2" w14:textId="77777777" w:rsidR="008C4BA5" w:rsidRPr="004E1369" w:rsidRDefault="008C4BA5" w:rsidP="003B6D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  <w:tc>
          <w:tcPr>
            <w:tcW w:w="1520" w:type="dxa"/>
          </w:tcPr>
          <w:p w14:paraId="7E1ADF69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0.0%</w:t>
            </w:r>
          </w:p>
        </w:tc>
        <w:tc>
          <w:tcPr>
            <w:tcW w:w="1542" w:type="dxa"/>
          </w:tcPr>
          <w:p w14:paraId="67F9B947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0.253</w:t>
            </w:r>
          </w:p>
        </w:tc>
      </w:tr>
      <w:tr w:rsidR="008C4BA5" w14:paraId="5FFE776F" w14:textId="77777777" w:rsidTr="008C4BA5">
        <w:tc>
          <w:tcPr>
            <w:tcW w:w="1524" w:type="dxa"/>
          </w:tcPr>
          <w:p w14:paraId="7755BD59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P41</w:t>
            </w:r>
          </w:p>
        </w:tc>
        <w:tc>
          <w:tcPr>
            <w:tcW w:w="1345" w:type="dxa"/>
          </w:tcPr>
          <w:p w14:paraId="2F4DF3D9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8</w:t>
            </w:r>
            <w:r w:rsidRPr="004E1369">
              <w:rPr>
                <w:sz w:val="20"/>
                <w:szCs w:val="20"/>
              </w:rPr>
              <w:t xml:space="preserve"> x 10</w:t>
            </w:r>
            <w:r w:rsidRPr="004E1369">
              <w:rPr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615" w:type="dxa"/>
          </w:tcPr>
          <w:p w14:paraId="5C9090B1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17.9%</w:t>
            </w:r>
          </w:p>
        </w:tc>
        <w:tc>
          <w:tcPr>
            <w:tcW w:w="1796" w:type="dxa"/>
          </w:tcPr>
          <w:p w14:paraId="310BAD5E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1.8 x 10</w:t>
            </w:r>
            <w:r w:rsidRPr="004E1369">
              <w:rPr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428" w:type="dxa"/>
          </w:tcPr>
          <w:p w14:paraId="2806CB89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1.4%</w:t>
            </w:r>
          </w:p>
        </w:tc>
        <w:tc>
          <w:tcPr>
            <w:tcW w:w="1520" w:type="dxa"/>
          </w:tcPr>
          <w:p w14:paraId="27BB1F30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77.5%</w:t>
            </w:r>
          </w:p>
        </w:tc>
        <w:tc>
          <w:tcPr>
            <w:tcW w:w="1542" w:type="dxa"/>
          </w:tcPr>
          <w:p w14:paraId="50A834CD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0.052</w:t>
            </w:r>
          </w:p>
        </w:tc>
      </w:tr>
      <w:tr w:rsidR="008C4BA5" w14:paraId="46C0C41C" w14:textId="77777777" w:rsidTr="008C4BA5">
        <w:tc>
          <w:tcPr>
            <w:tcW w:w="1524" w:type="dxa"/>
          </w:tcPr>
          <w:p w14:paraId="4038CACB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PVX_081550</w:t>
            </w:r>
          </w:p>
        </w:tc>
        <w:tc>
          <w:tcPr>
            <w:tcW w:w="1345" w:type="dxa"/>
          </w:tcPr>
          <w:p w14:paraId="5DC8B60B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9</w:t>
            </w:r>
            <w:r w:rsidRPr="004E1369">
              <w:rPr>
                <w:sz w:val="20"/>
                <w:szCs w:val="20"/>
              </w:rPr>
              <w:t xml:space="preserve"> x 10</w:t>
            </w:r>
            <w:r w:rsidRPr="004E1369">
              <w:rPr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615" w:type="dxa"/>
          </w:tcPr>
          <w:p w14:paraId="77FCBE33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0.4%</w:t>
            </w:r>
          </w:p>
        </w:tc>
        <w:tc>
          <w:tcPr>
            <w:tcW w:w="1796" w:type="dxa"/>
          </w:tcPr>
          <w:p w14:paraId="3619B48C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1</w:t>
            </w:r>
            <w:r w:rsidRPr="004E1369">
              <w:rPr>
                <w:sz w:val="20"/>
                <w:szCs w:val="20"/>
              </w:rPr>
              <w:t xml:space="preserve"> x 10</w:t>
            </w:r>
            <w:r w:rsidRPr="004E1369">
              <w:rPr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428" w:type="dxa"/>
          </w:tcPr>
          <w:p w14:paraId="133028D1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39.1%</w:t>
            </w:r>
          </w:p>
        </w:tc>
        <w:tc>
          <w:tcPr>
            <w:tcW w:w="1520" w:type="dxa"/>
          </w:tcPr>
          <w:p w14:paraId="399A981E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69.3%</w:t>
            </w:r>
          </w:p>
        </w:tc>
        <w:tc>
          <w:tcPr>
            <w:tcW w:w="1542" w:type="dxa"/>
          </w:tcPr>
          <w:p w14:paraId="7ACA8798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0.099</w:t>
            </w:r>
          </w:p>
        </w:tc>
      </w:tr>
      <w:tr w:rsidR="008C4BA5" w14:paraId="3DE34CC6" w14:textId="77777777" w:rsidTr="008C4BA5">
        <w:tc>
          <w:tcPr>
            <w:tcW w:w="1524" w:type="dxa"/>
          </w:tcPr>
          <w:p w14:paraId="6C30439B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P12</w:t>
            </w:r>
          </w:p>
        </w:tc>
        <w:tc>
          <w:tcPr>
            <w:tcW w:w="1345" w:type="dxa"/>
          </w:tcPr>
          <w:p w14:paraId="129E7E8F" w14:textId="77777777" w:rsidR="008C4BA5" w:rsidRPr="004E1369" w:rsidRDefault="008C4BA5" w:rsidP="003B6D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  <w:tc>
          <w:tcPr>
            <w:tcW w:w="1615" w:type="dxa"/>
          </w:tcPr>
          <w:p w14:paraId="6569E121" w14:textId="77777777" w:rsidR="008C4BA5" w:rsidRPr="004E1369" w:rsidRDefault="008C4BA5" w:rsidP="003B6D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  <w:tc>
          <w:tcPr>
            <w:tcW w:w="1796" w:type="dxa"/>
          </w:tcPr>
          <w:p w14:paraId="29EE9D22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4E136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</w:t>
            </w:r>
            <w:r w:rsidRPr="004E1369">
              <w:rPr>
                <w:sz w:val="20"/>
                <w:szCs w:val="20"/>
              </w:rPr>
              <w:t xml:space="preserve"> x 10</w:t>
            </w:r>
            <w:r w:rsidRPr="004E1369">
              <w:rPr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428" w:type="dxa"/>
          </w:tcPr>
          <w:p w14:paraId="420EFBA4" w14:textId="77777777" w:rsidR="008C4BA5" w:rsidRPr="004E1369" w:rsidRDefault="008C4BA5" w:rsidP="003B6D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  <w:tc>
          <w:tcPr>
            <w:tcW w:w="1520" w:type="dxa"/>
          </w:tcPr>
          <w:p w14:paraId="53D897B2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0.0%</w:t>
            </w:r>
          </w:p>
        </w:tc>
        <w:tc>
          <w:tcPr>
            <w:tcW w:w="1542" w:type="dxa"/>
          </w:tcPr>
          <w:p w14:paraId="37406EB1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0.134</w:t>
            </w:r>
          </w:p>
        </w:tc>
      </w:tr>
      <w:tr w:rsidR="008C4BA5" w14:paraId="13DA1C57" w14:textId="77777777" w:rsidTr="008C4BA5">
        <w:tc>
          <w:tcPr>
            <w:tcW w:w="1524" w:type="dxa"/>
          </w:tcPr>
          <w:p w14:paraId="540524EA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GAMA</w:t>
            </w:r>
          </w:p>
        </w:tc>
        <w:tc>
          <w:tcPr>
            <w:tcW w:w="1345" w:type="dxa"/>
          </w:tcPr>
          <w:p w14:paraId="64660ECE" w14:textId="77777777" w:rsidR="008C4BA5" w:rsidRPr="004E1369" w:rsidRDefault="008C4BA5" w:rsidP="003B6D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  <w:tc>
          <w:tcPr>
            <w:tcW w:w="1615" w:type="dxa"/>
          </w:tcPr>
          <w:p w14:paraId="3A52E0F5" w14:textId="77777777" w:rsidR="008C4BA5" w:rsidRPr="004E1369" w:rsidRDefault="008C4BA5" w:rsidP="003B6D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  <w:tc>
          <w:tcPr>
            <w:tcW w:w="1796" w:type="dxa"/>
          </w:tcPr>
          <w:p w14:paraId="188CF4F7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6.8 x 10</w:t>
            </w:r>
            <w:r w:rsidRPr="004E1369">
              <w:rPr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428" w:type="dxa"/>
          </w:tcPr>
          <w:p w14:paraId="729E7906" w14:textId="77777777" w:rsidR="008C4BA5" w:rsidRPr="004E1369" w:rsidRDefault="008C4BA5" w:rsidP="003B6D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  <w:tc>
          <w:tcPr>
            <w:tcW w:w="1520" w:type="dxa"/>
          </w:tcPr>
          <w:p w14:paraId="4495DE74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0.0%</w:t>
            </w:r>
          </w:p>
        </w:tc>
        <w:tc>
          <w:tcPr>
            <w:tcW w:w="1542" w:type="dxa"/>
          </w:tcPr>
          <w:p w14:paraId="4483EAF9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0.087</w:t>
            </w:r>
          </w:p>
        </w:tc>
      </w:tr>
      <w:tr w:rsidR="008C4BA5" w14:paraId="0990F84B" w14:textId="77777777" w:rsidTr="008C4BA5">
        <w:tc>
          <w:tcPr>
            <w:tcW w:w="1524" w:type="dxa"/>
          </w:tcPr>
          <w:p w14:paraId="317DECD4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CyRPA</w:t>
            </w:r>
          </w:p>
        </w:tc>
        <w:tc>
          <w:tcPr>
            <w:tcW w:w="1345" w:type="dxa"/>
          </w:tcPr>
          <w:p w14:paraId="46F355D6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4</w:t>
            </w:r>
            <w:r w:rsidRPr="004E1369">
              <w:rPr>
                <w:sz w:val="20"/>
                <w:szCs w:val="20"/>
              </w:rPr>
              <w:t xml:space="preserve"> x 10</w:t>
            </w:r>
            <w:r w:rsidRPr="004E1369">
              <w:rPr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615" w:type="dxa"/>
          </w:tcPr>
          <w:p w14:paraId="0030BDE6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1.37%</w:t>
            </w:r>
          </w:p>
        </w:tc>
        <w:tc>
          <w:tcPr>
            <w:tcW w:w="1796" w:type="dxa"/>
          </w:tcPr>
          <w:p w14:paraId="68F1DB25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5.2 x 10</w:t>
            </w:r>
            <w:r w:rsidRPr="004E1369">
              <w:rPr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428" w:type="dxa"/>
          </w:tcPr>
          <w:p w14:paraId="21711C4C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60.2%</w:t>
            </w:r>
          </w:p>
        </w:tc>
        <w:tc>
          <w:tcPr>
            <w:tcW w:w="1520" w:type="dxa"/>
          </w:tcPr>
          <w:p w14:paraId="0B574928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69.1%</w:t>
            </w:r>
          </w:p>
        </w:tc>
        <w:tc>
          <w:tcPr>
            <w:tcW w:w="1542" w:type="dxa"/>
          </w:tcPr>
          <w:p w14:paraId="2E9E4A31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0.241</w:t>
            </w:r>
          </w:p>
        </w:tc>
      </w:tr>
      <w:tr w:rsidR="008C4BA5" w14:paraId="51DCF6A4" w14:textId="77777777" w:rsidTr="008C4BA5">
        <w:tc>
          <w:tcPr>
            <w:tcW w:w="1524" w:type="dxa"/>
          </w:tcPr>
          <w:p w14:paraId="19921B75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EBP</w:t>
            </w:r>
          </w:p>
        </w:tc>
        <w:tc>
          <w:tcPr>
            <w:tcW w:w="1345" w:type="dxa"/>
          </w:tcPr>
          <w:p w14:paraId="1534128D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2</w:t>
            </w:r>
            <w:r w:rsidRPr="004E1369">
              <w:rPr>
                <w:sz w:val="20"/>
                <w:szCs w:val="20"/>
              </w:rPr>
              <w:t xml:space="preserve"> x 10</w:t>
            </w:r>
            <w:r w:rsidRPr="004E1369">
              <w:rPr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615" w:type="dxa"/>
          </w:tcPr>
          <w:p w14:paraId="09B863CC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3.17%</w:t>
            </w:r>
          </w:p>
        </w:tc>
        <w:tc>
          <w:tcPr>
            <w:tcW w:w="1796" w:type="dxa"/>
          </w:tcPr>
          <w:p w14:paraId="01D941E9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4.0 x 10</w:t>
            </w:r>
            <w:r w:rsidRPr="004E1369">
              <w:rPr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428" w:type="dxa"/>
          </w:tcPr>
          <w:p w14:paraId="06C22EFC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42.7%</w:t>
            </w:r>
          </w:p>
        </w:tc>
        <w:tc>
          <w:tcPr>
            <w:tcW w:w="1520" w:type="dxa"/>
          </w:tcPr>
          <w:p w14:paraId="62913AE3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67.3%</w:t>
            </w:r>
          </w:p>
        </w:tc>
        <w:tc>
          <w:tcPr>
            <w:tcW w:w="1542" w:type="dxa"/>
          </w:tcPr>
          <w:p w14:paraId="788CEFEB" w14:textId="77777777" w:rsidR="008C4BA5" w:rsidRPr="004E1369" w:rsidRDefault="008C4BA5" w:rsidP="003B6D9E">
            <w:pPr>
              <w:rPr>
                <w:sz w:val="20"/>
                <w:szCs w:val="20"/>
              </w:rPr>
            </w:pPr>
            <w:r w:rsidRPr="004E1369">
              <w:rPr>
                <w:sz w:val="20"/>
                <w:szCs w:val="20"/>
              </w:rPr>
              <w:t>0.210</w:t>
            </w:r>
          </w:p>
        </w:tc>
      </w:tr>
    </w:tbl>
    <w:p w14:paraId="24EEDD8D" w14:textId="77777777" w:rsidR="008C4BA5" w:rsidRDefault="008C4BA5" w:rsidP="008C4BA5"/>
    <w:p w14:paraId="7AB63A3E" w14:textId="77777777" w:rsidR="008C4BA5" w:rsidRDefault="008C4BA5" w:rsidP="008C4BA5"/>
    <w:p w14:paraId="3BE55C6D" w14:textId="77777777" w:rsidR="00184486" w:rsidRDefault="00184486"/>
    <w:sectPr w:rsidR="00184486" w:rsidSect="00D50A7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charset w:val="00"/>
    <w:family w:val="roman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BA5"/>
    <w:rsid w:val="00000D9D"/>
    <w:rsid w:val="00051355"/>
    <w:rsid w:val="0005262A"/>
    <w:rsid w:val="00086C37"/>
    <w:rsid w:val="00094407"/>
    <w:rsid w:val="00097CAB"/>
    <w:rsid w:val="000B14CD"/>
    <w:rsid w:val="000C41A2"/>
    <w:rsid w:val="000D3305"/>
    <w:rsid w:val="00117AB0"/>
    <w:rsid w:val="00123B89"/>
    <w:rsid w:val="00137EC6"/>
    <w:rsid w:val="001648D3"/>
    <w:rsid w:val="00172E34"/>
    <w:rsid w:val="00184486"/>
    <w:rsid w:val="00185A94"/>
    <w:rsid w:val="001C4E99"/>
    <w:rsid w:val="001C6762"/>
    <w:rsid w:val="001E69A4"/>
    <w:rsid w:val="00205CBF"/>
    <w:rsid w:val="0024316B"/>
    <w:rsid w:val="00263E29"/>
    <w:rsid w:val="00266E93"/>
    <w:rsid w:val="00271245"/>
    <w:rsid w:val="00275ABC"/>
    <w:rsid w:val="00277521"/>
    <w:rsid w:val="002A1488"/>
    <w:rsid w:val="002A5B73"/>
    <w:rsid w:val="002C0F0D"/>
    <w:rsid w:val="002C5399"/>
    <w:rsid w:val="002E525B"/>
    <w:rsid w:val="00322DED"/>
    <w:rsid w:val="00340DEA"/>
    <w:rsid w:val="003436C6"/>
    <w:rsid w:val="003A4279"/>
    <w:rsid w:val="003C750B"/>
    <w:rsid w:val="003F5224"/>
    <w:rsid w:val="004006FB"/>
    <w:rsid w:val="00414738"/>
    <w:rsid w:val="00432C8A"/>
    <w:rsid w:val="004362B0"/>
    <w:rsid w:val="00441CFF"/>
    <w:rsid w:val="00477B13"/>
    <w:rsid w:val="00493B0D"/>
    <w:rsid w:val="004A4297"/>
    <w:rsid w:val="004F0110"/>
    <w:rsid w:val="004F0BC4"/>
    <w:rsid w:val="00515C52"/>
    <w:rsid w:val="005175F3"/>
    <w:rsid w:val="005532C7"/>
    <w:rsid w:val="005617CD"/>
    <w:rsid w:val="005A7F0F"/>
    <w:rsid w:val="005B5444"/>
    <w:rsid w:val="00602F07"/>
    <w:rsid w:val="00605637"/>
    <w:rsid w:val="00616E73"/>
    <w:rsid w:val="00625068"/>
    <w:rsid w:val="006442A1"/>
    <w:rsid w:val="00654FF3"/>
    <w:rsid w:val="00661F55"/>
    <w:rsid w:val="00675EFB"/>
    <w:rsid w:val="0069446B"/>
    <w:rsid w:val="006B1703"/>
    <w:rsid w:val="006C5070"/>
    <w:rsid w:val="006D46EF"/>
    <w:rsid w:val="006D507F"/>
    <w:rsid w:val="006E1E46"/>
    <w:rsid w:val="006F3BBB"/>
    <w:rsid w:val="006F56CE"/>
    <w:rsid w:val="00700843"/>
    <w:rsid w:val="0071311E"/>
    <w:rsid w:val="007134EF"/>
    <w:rsid w:val="007A5A50"/>
    <w:rsid w:val="007B6504"/>
    <w:rsid w:val="007F143E"/>
    <w:rsid w:val="007F5198"/>
    <w:rsid w:val="008100D0"/>
    <w:rsid w:val="00832FA7"/>
    <w:rsid w:val="00835E95"/>
    <w:rsid w:val="00847B96"/>
    <w:rsid w:val="00884F40"/>
    <w:rsid w:val="00884FFC"/>
    <w:rsid w:val="00887E57"/>
    <w:rsid w:val="008957AD"/>
    <w:rsid w:val="008C3211"/>
    <w:rsid w:val="008C4BA5"/>
    <w:rsid w:val="008D71F7"/>
    <w:rsid w:val="008F1642"/>
    <w:rsid w:val="008F5383"/>
    <w:rsid w:val="00905FCE"/>
    <w:rsid w:val="00924146"/>
    <w:rsid w:val="00962C83"/>
    <w:rsid w:val="00971499"/>
    <w:rsid w:val="009B4EEA"/>
    <w:rsid w:val="009D09E8"/>
    <w:rsid w:val="009D1AD7"/>
    <w:rsid w:val="009E31AD"/>
    <w:rsid w:val="00A139D5"/>
    <w:rsid w:val="00A17532"/>
    <w:rsid w:val="00A33654"/>
    <w:rsid w:val="00A426FD"/>
    <w:rsid w:val="00A4718B"/>
    <w:rsid w:val="00A55B13"/>
    <w:rsid w:val="00A618C4"/>
    <w:rsid w:val="00A66FD5"/>
    <w:rsid w:val="00A836F2"/>
    <w:rsid w:val="00AC0E50"/>
    <w:rsid w:val="00AD3321"/>
    <w:rsid w:val="00AE20FE"/>
    <w:rsid w:val="00AF2458"/>
    <w:rsid w:val="00B67A35"/>
    <w:rsid w:val="00B835CA"/>
    <w:rsid w:val="00B84164"/>
    <w:rsid w:val="00B94EF3"/>
    <w:rsid w:val="00BA6FA5"/>
    <w:rsid w:val="00BD2ACC"/>
    <w:rsid w:val="00BD599A"/>
    <w:rsid w:val="00C038E3"/>
    <w:rsid w:val="00C378FF"/>
    <w:rsid w:val="00C4556F"/>
    <w:rsid w:val="00C45C5F"/>
    <w:rsid w:val="00C60798"/>
    <w:rsid w:val="00C724A6"/>
    <w:rsid w:val="00C76FCD"/>
    <w:rsid w:val="00C81128"/>
    <w:rsid w:val="00C9006A"/>
    <w:rsid w:val="00CA091E"/>
    <w:rsid w:val="00CA4B3E"/>
    <w:rsid w:val="00CB4CB6"/>
    <w:rsid w:val="00CC3652"/>
    <w:rsid w:val="00CC4E29"/>
    <w:rsid w:val="00CD1DED"/>
    <w:rsid w:val="00CE11D2"/>
    <w:rsid w:val="00D0226E"/>
    <w:rsid w:val="00D127A8"/>
    <w:rsid w:val="00D36940"/>
    <w:rsid w:val="00D47C99"/>
    <w:rsid w:val="00D50A79"/>
    <w:rsid w:val="00D538E3"/>
    <w:rsid w:val="00D66730"/>
    <w:rsid w:val="00D67048"/>
    <w:rsid w:val="00D82E59"/>
    <w:rsid w:val="00E07D44"/>
    <w:rsid w:val="00E318CD"/>
    <w:rsid w:val="00E42ACF"/>
    <w:rsid w:val="00E47A5D"/>
    <w:rsid w:val="00E8419B"/>
    <w:rsid w:val="00E97414"/>
    <w:rsid w:val="00EA0982"/>
    <w:rsid w:val="00EC5F5E"/>
    <w:rsid w:val="00EE1C9A"/>
    <w:rsid w:val="00EE34D9"/>
    <w:rsid w:val="00EF4182"/>
    <w:rsid w:val="00F07503"/>
    <w:rsid w:val="00F17BCA"/>
    <w:rsid w:val="00F31BAD"/>
    <w:rsid w:val="00F507E8"/>
    <w:rsid w:val="00F5322E"/>
    <w:rsid w:val="00F700B4"/>
    <w:rsid w:val="00FA5C32"/>
    <w:rsid w:val="00FF03B8"/>
    <w:rsid w:val="00FF1523"/>
    <w:rsid w:val="00FF6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893DB7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C4BA5"/>
    <w:pPr>
      <w:spacing w:after="160" w:line="259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C4BA5"/>
    <w:rPr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8C4BA5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382</Words>
  <Characters>2182</Characters>
  <Application>Microsoft Macintosh Word</Application>
  <DocSecurity>0</DocSecurity>
  <Lines>18</Lines>
  <Paragraphs>5</Paragraphs>
  <ScaleCrop>false</ScaleCrop>
  <LinksUpToDate>false</LinksUpToDate>
  <CharactersWithSpaces>2559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Camila Franca</dc:creator>
  <cp:keywords/>
  <dc:description/>
  <cp:lastModifiedBy>Camila Franca</cp:lastModifiedBy>
  <cp:revision>10</cp:revision>
  <dcterms:created xsi:type="dcterms:W3CDTF">2017-08-23T16:01:00Z</dcterms:created>
  <dcterms:modified xsi:type="dcterms:W3CDTF">2017-09-19T03:16:00Z</dcterms:modified>
</cp:coreProperties>
</file>