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2FDD2" w14:textId="1D7BC2ED" w:rsidR="002651BE" w:rsidRDefault="0028201C" w:rsidP="00010D97">
      <w:pPr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Figure 6 source data</w:t>
      </w:r>
      <w:r w:rsidR="00A66036">
        <w:rPr>
          <w:rFonts w:ascii="Helvetica" w:hAnsi="Helvetica"/>
          <w:b/>
          <w:bCs/>
          <w:sz w:val="20"/>
          <w:szCs w:val="20"/>
        </w:rPr>
        <w:t xml:space="preserve">. </w:t>
      </w:r>
      <w:r w:rsidR="00632E46">
        <w:rPr>
          <w:rFonts w:ascii="Helvetica" w:hAnsi="Helvetica"/>
          <w:b/>
          <w:bCs/>
          <w:sz w:val="20"/>
          <w:szCs w:val="20"/>
        </w:rPr>
        <w:t>Tumor phenotypes and marker quantitation</w:t>
      </w:r>
      <w:r w:rsidR="00010D97">
        <w:rPr>
          <w:rFonts w:ascii="Helvetica" w:hAnsi="Helvetica"/>
          <w:b/>
          <w:bCs/>
          <w:sz w:val="20"/>
          <w:szCs w:val="20"/>
        </w:rPr>
        <w:t>.</w:t>
      </w:r>
    </w:p>
    <w:p w14:paraId="1706DE30" w14:textId="77777777" w:rsidR="00632E46" w:rsidRPr="00A329CB" w:rsidRDefault="00632E46" w:rsidP="0083012B">
      <w:pPr>
        <w:spacing w:before="20" w:after="20" w:line="200" w:lineRule="exact"/>
        <w:rPr>
          <w:rFonts w:ascii="Helvetica" w:hAnsi="Helvetica"/>
          <w:b/>
          <w:sz w:val="20"/>
          <w:szCs w:val="20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4338"/>
        <w:gridCol w:w="1080"/>
        <w:gridCol w:w="4050"/>
        <w:gridCol w:w="11"/>
      </w:tblGrid>
      <w:tr w:rsidR="008823E1" w:rsidRPr="00010D97" w14:paraId="3D050BE7" w14:textId="77777777" w:rsidTr="00010D97">
        <w:trPr>
          <w:gridAfter w:val="1"/>
          <w:wAfter w:w="11" w:type="dxa"/>
          <w:trHeight w:val="320"/>
        </w:trPr>
        <w:tc>
          <w:tcPr>
            <w:tcW w:w="9468" w:type="dxa"/>
            <w:gridSpan w:val="3"/>
            <w:shd w:val="clear" w:color="auto" w:fill="auto"/>
            <w:noWrap/>
            <w:vAlign w:val="bottom"/>
          </w:tcPr>
          <w:p w14:paraId="34D07AD5" w14:textId="51DD928C" w:rsidR="008823E1" w:rsidRPr="00010D97" w:rsidRDefault="00A66036" w:rsidP="00010D97">
            <w:pPr>
              <w:spacing w:before="20" w:after="1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010D97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A. </w:t>
            </w:r>
            <w:r w:rsidR="00010D97">
              <w:rPr>
                <w:rFonts w:ascii="Helvetica" w:hAnsi="Helvetica"/>
                <w:b/>
                <w:bCs/>
                <w:sz w:val="20"/>
                <w:szCs w:val="20"/>
              </w:rPr>
              <w:t xml:space="preserve">Histological analysis of </w:t>
            </w:r>
            <w:r w:rsidR="00010D97" w:rsidRPr="006F3740">
              <w:rPr>
                <w:rFonts w:ascii="Helvetica" w:hAnsi="Helvetica"/>
                <w:b/>
                <w:bCs/>
                <w:sz w:val="20"/>
                <w:szCs w:val="20"/>
              </w:rPr>
              <w:t>NP-CARN</w:t>
            </w:r>
            <w:r w:rsidR="00010D97">
              <w:rPr>
                <w:rFonts w:ascii="Helvetica" w:hAnsi="Helvetica"/>
                <w:b/>
                <w:bCs/>
                <w:i/>
                <w:sz w:val="20"/>
                <w:szCs w:val="20"/>
              </w:rPr>
              <w:t xml:space="preserve"> </w:t>
            </w:r>
            <w:r w:rsidR="00010D97">
              <w:rPr>
                <w:rFonts w:ascii="Helvetica" w:hAnsi="Helvetica"/>
                <w:b/>
                <w:bCs/>
                <w:sz w:val="20"/>
                <w:szCs w:val="20"/>
              </w:rPr>
              <w:t xml:space="preserve">and </w:t>
            </w:r>
            <w:r w:rsidR="00010D97" w:rsidRPr="006F3740">
              <w:rPr>
                <w:rFonts w:ascii="Helvetica" w:hAnsi="Helvetica"/>
                <w:b/>
                <w:bCs/>
                <w:sz w:val="20"/>
                <w:szCs w:val="20"/>
              </w:rPr>
              <w:t>NPA-CARN</w:t>
            </w:r>
            <w:r w:rsidR="00010D97">
              <w:rPr>
                <w:rFonts w:ascii="Helvetica" w:hAnsi="Helvetica"/>
                <w:b/>
                <w:bCs/>
                <w:i/>
                <w:sz w:val="20"/>
                <w:szCs w:val="20"/>
              </w:rPr>
              <w:t xml:space="preserve"> </w:t>
            </w:r>
            <w:r w:rsidR="00010D97">
              <w:rPr>
                <w:rFonts w:ascii="Helvetica" w:hAnsi="Helvetica"/>
                <w:b/>
                <w:bCs/>
                <w:sz w:val="20"/>
                <w:szCs w:val="20"/>
              </w:rPr>
              <w:t>prostate tissue</w:t>
            </w:r>
          </w:p>
        </w:tc>
      </w:tr>
      <w:tr w:rsidR="00010D97" w:rsidRPr="00D602BF" w14:paraId="1FA10191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E1744" w14:textId="77777777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549C" w14:textId="77777777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E6AB9" w14:textId="6122AC18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Phenotype</w:t>
            </w:r>
          </w:p>
        </w:tc>
      </w:tr>
      <w:tr w:rsidR="00010D97" w:rsidRPr="00D602BF" w14:paraId="251CFE77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5E0A7" w14:textId="77777777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63BA" w14:textId="5665F64E" w:rsidR="00010D97" w:rsidRPr="00BA51B0" w:rsidRDefault="00010D97" w:rsidP="00010D9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0738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3B755" w14:textId="5871A8C2" w:rsidR="00010D97" w:rsidRPr="007F10B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Diffuse high-grade PIN (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PIN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III)</w:t>
            </w:r>
          </w:p>
        </w:tc>
      </w:tr>
      <w:tr w:rsidR="00010D97" w:rsidRPr="00D602BF" w14:paraId="2ED25B85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AD2C0" w14:textId="7E4E5060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40072" w14:textId="09C480E6" w:rsidR="00010D97" w:rsidRPr="00BA51B0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0739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5165" w14:textId="68552E6B" w:rsidR="00010D97" w:rsidRPr="007F10B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Diffuse high-grade PIN (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PIN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III)</w:t>
            </w:r>
          </w:p>
        </w:tc>
      </w:tr>
      <w:tr w:rsidR="00010D97" w:rsidRPr="00D602BF" w14:paraId="7841AA63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4A554" w14:textId="1089C386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7730A" w14:textId="101E986A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0742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51348" w14:textId="78416521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Diffuse high-grade PIN (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PIN</w:t>
            </w:r>
            <w:proofErr w:type="spellEnd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III)</w:t>
            </w:r>
          </w:p>
        </w:tc>
      </w:tr>
      <w:tr w:rsidR="00010D97" w:rsidRPr="00D602BF" w14:paraId="6AC38F02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A4B62" w14:textId="52B88E56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B915" w14:textId="12AFE40D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0240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B233D" w14:textId="3E467381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Diffuse hyperplasia, focal atypia with apoptosis and mild inflammation</w:t>
            </w:r>
          </w:p>
        </w:tc>
      </w:tr>
      <w:tr w:rsidR="00010D97" w:rsidRPr="00D602BF" w14:paraId="429C1110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4B5D" w14:textId="0D396B49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D85E" w14:textId="00CC7482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0250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58715" w14:textId="2FC9F69A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Diffuse hyperplasia, focal atypia with apoptosis and mild inflammation</w:t>
            </w:r>
          </w:p>
        </w:tc>
      </w:tr>
      <w:tr w:rsidR="00010D97" w:rsidRPr="00D602BF" w14:paraId="3FFC59DA" w14:textId="77777777" w:rsidTr="00010D97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C0B02" w14:textId="6ED59487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2FC2" w14:textId="3E9E5207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0759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7EBC2" w14:textId="72064A82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Diffuse hyperplasia, focal atypia with apoptosis and mild inflammation</w:t>
            </w:r>
          </w:p>
        </w:tc>
      </w:tr>
    </w:tbl>
    <w:p w14:paraId="072C2D30" w14:textId="77777777" w:rsidR="00010D97" w:rsidRDefault="00010D97"/>
    <w:p w14:paraId="2C4EFAEE" w14:textId="1DA89037" w:rsidR="002651BE" w:rsidRPr="00632E46" w:rsidRDefault="00010D97" w:rsidP="00010D97">
      <w:pPr>
        <w:spacing w:before="240" w:after="120" w:line="200" w:lineRule="exact"/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B</w:t>
      </w:r>
      <w:r w:rsidR="00632E46">
        <w:rPr>
          <w:rFonts w:ascii="Helvetica" w:hAnsi="Helvetica"/>
          <w:b/>
          <w:bCs/>
          <w:sz w:val="20"/>
          <w:szCs w:val="20"/>
        </w:rPr>
        <w:t xml:space="preserve">. Marker analysis of </w:t>
      </w:r>
      <w:r w:rsidR="00632E46" w:rsidRPr="006F3740">
        <w:rPr>
          <w:rFonts w:ascii="Helvetica" w:hAnsi="Helvetica"/>
          <w:b/>
          <w:bCs/>
          <w:sz w:val="20"/>
          <w:szCs w:val="20"/>
        </w:rPr>
        <w:t>NP-CARN</w:t>
      </w:r>
      <w:r w:rsidR="00632E46">
        <w:rPr>
          <w:rFonts w:ascii="Helvetica" w:hAnsi="Helvetica"/>
          <w:b/>
          <w:bCs/>
          <w:i/>
          <w:sz w:val="20"/>
          <w:szCs w:val="20"/>
        </w:rPr>
        <w:t xml:space="preserve"> </w:t>
      </w:r>
      <w:r w:rsidR="00632E46">
        <w:rPr>
          <w:rFonts w:ascii="Helvetica" w:hAnsi="Helvetica"/>
          <w:b/>
          <w:bCs/>
          <w:sz w:val="20"/>
          <w:szCs w:val="20"/>
        </w:rPr>
        <w:t xml:space="preserve">and </w:t>
      </w:r>
      <w:r w:rsidR="00632E46" w:rsidRPr="006F3740">
        <w:rPr>
          <w:rFonts w:ascii="Helvetica" w:hAnsi="Helvetica"/>
          <w:b/>
          <w:bCs/>
          <w:sz w:val="20"/>
          <w:szCs w:val="20"/>
        </w:rPr>
        <w:t>NPA-CARN</w:t>
      </w:r>
      <w:r w:rsidR="00632E46">
        <w:rPr>
          <w:rFonts w:ascii="Helvetica" w:hAnsi="Helvetica"/>
          <w:b/>
          <w:bCs/>
          <w:i/>
          <w:sz w:val="20"/>
          <w:szCs w:val="20"/>
        </w:rPr>
        <w:t xml:space="preserve"> </w:t>
      </w:r>
      <w:r w:rsidR="00632E46">
        <w:rPr>
          <w:rFonts w:ascii="Helvetica" w:hAnsi="Helvetica"/>
          <w:b/>
          <w:bCs/>
          <w:sz w:val="20"/>
          <w:szCs w:val="20"/>
        </w:rPr>
        <w:t>prostate tissue</w:t>
      </w: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3798"/>
        <w:gridCol w:w="1253"/>
        <w:gridCol w:w="367"/>
        <w:gridCol w:w="1980"/>
        <w:gridCol w:w="90"/>
        <w:gridCol w:w="417"/>
        <w:gridCol w:w="1564"/>
        <w:gridCol w:w="10"/>
      </w:tblGrid>
      <w:tr w:rsidR="00AB2887" w:rsidRPr="004D13A4" w14:paraId="72E0B6AD" w14:textId="77777777" w:rsidTr="00932910">
        <w:trPr>
          <w:gridAfter w:val="1"/>
          <w:wAfter w:w="10" w:type="dxa"/>
          <w:trHeight w:val="320"/>
        </w:trPr>
        <w:tc>
          <w:tcPr>
            <w:tcW w:w="5051" w:type="dxa"/>
            <w:gridSpan w:val="2"/>
            <w:shd w:val="clear" w:color="auto" w:fill="D9D9D9" w:themeFill="background1" w:themeFillShade="D9"/>
            <w:noWrap/>
            <w:vAlign w:val="center"/>
          </w:tcPr>
          <w:p w14:paraId="19ECA543" w14:textId="77777777" w:rsidR="00AB2887" w:rsidRPr="004D13A4" w:rsidRDefault="00AB2887" w:rsidP="00932910">
            <w:pPr>
              <w:spacing w:before="60" w:after="6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Ki67</w:t>
            </w:r>
          </w:p>
        </w:tc>
        <w:tc>
          <w:tcPr>
            <w:tcW w:w="2437" w:type="dxa"/>
            <w:gridSpan w:val="3"/>
            <w:shd w:val="clear" w:color="auto" w:fill="D9D9D9" w:themeFill="background1" w:themeFillShade="D9"/>
            <w:noWrap/>
            <w:vAlign w:val="center"/>
          </w:tcPr>
          <w:p w14:paraId="268CB21D" w14:textId="77777777" w:rsidR="00AB2887" w:rsidRPr="004D13A4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D9D9D9" w:themeFill="background1" w:themeFillShade="D9"/>
            <w:noWrap/>
            <w:vAlign w:val="center"/>
          </w:tcPr>
          <w:p w14:paraId="7E99D3E7" w14:textId="77777777" w:rsidR="00AB2887" w:rsidRPr="004D13A4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  <w:noWrap/>
            <w:vAlign w:val="center"/>
          </w:tcPr>
          <w:p w14:paraId="6E634F28" w14:textId="77777777" w:rsidR="00AB2887" w:rsidRPr="004D13A4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C5089A" w:rsidRPr="00D602BF" w14:paraId="77F8F772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D0282" w14:textId="77777777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1237" w14:textId="77777777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8B6B" w14:textId="77777777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Total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epithelial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24DA1" w14:textId="77D00682" w:rsidR="00AB2887" w:rsidRPr="00D602BF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Ki67</w:t>
            </w:r>
            <w:r w:rsidR="00AB288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AB288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</w:t>
            </w:r>
            <w:r w:rsidR="00AB288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</w:t>
            </w:r>
            <w:r w:rsidR="00AB288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5089A" w:rsidRPr="00D602BF" w14:paraId="7B912B4F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C814" w14:textId="688F4F6B" w:rsidR="00AB2887" w:rsidRPr="00D602BF" w:rsidRDefault="00AB2887" w:rsidP="00AB288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D5DE4" w14:textId="7AA67E11" w:rsidR="00AB2887" w:rsidRPr="00BA51B0" w:rsidRDefault="00AB2887" w:rsidP="00AB288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0738,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0739,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B743" w14:textId="2D45E2F5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5,199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E7177" w14:textId="1F23560F" w:rsidR="00AB2887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480</w:t>
            </w:r>
          </w:p>
          <w:p w14:paraId="09E399D5" w14:textId="50E627B6" w:rsidR="00AB2887" w:rsidRPr="007F10B7" w:rsidRDefault="00AB2887" w:rsidP="00AB288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(9.2 ± 0.26%)</w:t>
            </w:r>
          </w:p>
        </w:tc>
      </w:tr>
      <w:tr w:rsidR="00C5089A" w:rsidRPr="00D602BF" w14:paraId="5CAC7706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778FA" w14:textId="5CE6B674" w:rsidR="00AB2887" w:rsidRPr="00D602BF" w:rsidRDefault="00AB2887" w:rsidP="00AB288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CB49" w14:textId="7B753E5D" w:rsidR="00AB2887" w:rsidRPr="00BA51B0" w:rsidRDefault="00AB2887" w:rsidP="00AB288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0240,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0250,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9FC3" w14:textId="1516C262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4,429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CD96C" w14:textId="5D0723C5" w:rsidR="00AB2887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120</w:t>
            </w:r>
          </w:p>
          <w:p w14:paraId="012DFF6C" w14:textId="4945BC2F" w:rsidR="00AB2887" w:rsidRPr="007F10B7" w:rsidRDefault="00AB2887" w:rsidP="00C5089A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C5089A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2.7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</w:t>
            </w:r>
            <w:r w:rsidR="00C5089A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0.17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%)</w:t>
            </w:r>
          </w:p>
        </w:tc>
      </w:tr>
    </w:tbl>
    <w:p w14:paraId="5F5F0223" w14:textId="77777777" w:rsidR="00AB2887" w:rsidRDefault="00AB2887" w:rsidP="00AB2887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3798"/>
        <w:gridCol w:w="1253"/>
        <w:gridCol w:w="367"/>
        <w:gridCol w:w="1980"/>
        <w:gridCol w:w="90"/>
        <w:gridCol w:w="417"/>
        <w:gridCol w:w="1564"/>
        <w:gridCol w:w="10"/>
      </w:tblGrid>
      <w:tr w:rsidR="00AB2887" w:rsidRPr="004D13A4" w14:paraId="1F1B9034" w14:textId="77777777" w:rsidTr="00932910">
        <w:trPr>
          <w:gridAfter w:val="1"/>
          <w:wAfter w:w="10" w:type="dxa"/>
          <w:trHeight w:val="320"/>
        </w:trPr>
        <w:tc>
          <w:tcPr>
            <w:tcW w:w="5051" w:type="dxa"/>
            <w:gridSpan w:val="2"/>
            <w:shd w:val="clear" w:color="auto" w:fill="D9D9D9" w:themeFill="background1" w:themeFillShade="D9"/>
            <w:noWrap/>
            <w:vAlign w:val="center"/>
          </w:tcPr>
          <w:p w14:paraId="5AE1DFAA" w14:textId="77777777" w:rsidR="00AB2887" w:rsidRPr="004D13A4" w:rsidRDefault="00AB2887" w:rsidP="00932910">
            <w:pPr>
              <w:spacing w:before="60" w:after="6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Cleaved caspase-3</w:t>
            </w:r>
          </w:p>
        </w:tc>
        <w:tc>
          <w:tcPr>
            <w:tcW w:w="2437" w:type="dxa"/>
            <w:gridSpan w:val="3"/>
            <w:shd w:val="clear" w:color="auto" w:fill="D9D9D9" w:themeFill="background1" w:themeFillShade="D9"/>
            <w:noWrap/>
            <w:vAlign w:val="center"/>
          </w:tcPr>
          <w:p w14:paraId="264E6CA1" w14:textId="77777777" w:rsidR="00AB2887" w:rsidRPr="004D13A4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D9D9D9" w:themeFill="background1" w:themeFillShade="D9"/>
            <w:noWrap/>
            <w:vAlign w:val="center"/>
          </w:tcPr>
          <w:p w14:paraId="29AA173C" w14:textId="77777777" w:rsidR="00AB2887" w:rsidRPr="004D13A4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  <w:noWrap/>
            <w:vAlign w:val="center"/>
          </w:tcPr>
          <w:p w14:paraId="7D4A1BDB" w14:textId="77777777" w:rsidR="00AB2887" w:rsidRPr="004D13A4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C5089A" w:rsidRPr="00D602BF" w14:paraId="250FBDBB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7E73D" w14:textId="77777777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12E3" w14:textId="77777777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44E88" w14:textId="77777777" w:rsidR="00AB2887" w:rsidRPr="00D602BF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Total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epithelial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5767F" w14:textId="13D331E3" w:rsidR="00AB2887" w:rsidRPr="00D602BF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CC3</w:t>
            </w:r>
            <w:r w:rsidR="00AB288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AB288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</w:t>
            </w:r>
            <w:r w:rsidR="00AB288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</w:t>
            </w:r>
            <w:r w:rsidR="00AB288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5089A" w:rsidRPr="00D602BF" w14:paraId="1ECE42E6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E6F5F" w14:textId="19F26047" w:rsidR="00AB2887" w:rsidRPr="00D602BF" w:rsidRDefault="00AB2887" w:rsidP="00AB288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37171" w14:textId="5B544079" w:rsidR="00AB2887" w:rsidRPr="00BA51B0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0738,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0739,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3E566" w14:textId="69BDA965" w:rsidR="00AB2887" w:rsidRPr="00D602BF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8,030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62BA" w14:textId="1FDC3CE9" w:rsidR="00AB2887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54</w:t>
            </w:r>
          </w:p>
          <w:p w14:paraId="37DC7055" w14:textId="0D2BD751" w:rsidR="00AB2887" w:rsidRPr="007F10B7" w:rsidRDefault="00AB2887" w:rsidP="00C5089A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(0.</w:t>
            </w:r>
            <w:r w:rsidR="00C5089A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0.</w:t>
            </w:r>
            <w:r w:rsidR="00C5089A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%)</w:t>
            </w:r>
          </w:p>
        </w:tc>
      </w:tr>
      <w:tr w:rsidR="00C5089A" w:rsidRPr="00D602BF" w14:paraId="1FE32857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391C" w14:textId="026438FF" w:rsidR="00AB2887" w:rsidRPr="00D602BF" w:rsidRDefault="00AB2887" w:rsidP="00AB288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0D2EB" w14:textId="1C48953E" w:rsidR="00AB2887" w:rsidRPr="00BA51B0" w:rsidRDefault="00AB288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0240,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0250,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62DA" w14:textId="40E38A3E" w:rsidR="00AB2887" w:rsidRPr="00D602BF" w:rsidRDefault="00AB2887" w:rsidP="00C5089A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6,9</w:t>
            </w:r>
            <w:r w:rsidR="00C5089A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52B19" w14:textId="41B855BC" w:rsidR="00AB2887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180</w:t>
            </w:r>
          </w:p>
          <w:p w14:paraId="3AF3391F" w14:textId="511C1FFD" w:rsidR="00AB2887" w:rsidRPr="007F10B7" w:rsidRDefault="00C5089A" w:rsidP="00C5089A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(2.6</w:t>
            </w:r>
            <w:r w:rsidR="00AB288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</w:t>
            </w:r>
            <w:r w:rsidR="00AB288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%)</w:t>
            </w:r>
          </w:p>
        </w:tc>
      </w:tr>
    </w:tbl>
    <w:p w14:paraId="549F279C" w14:textId="77777777" w:rsidR="00AB2887" w:rsidRDefault="00AB2887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4338"/>
        <w:gridCol w:w="1080"/>
        <w:gridCol w:w="4050"/>
        <w:gridCol w:w="11"/>
      </w:tblGrid>
      <w:tr w:rsidR="00010D97" w:rsidRPr="00010D97" w14:paraId="208A81B8" w14:textId="77777777" w:rsidTr="00932910">
        <w:trPr>
          <w:gridAfter w:val="1"/>
          <w:wAfter w:w="11" w:type="dxa"/>
          <w:trHeight w:val="320"/>
        </w:trPr>
        <w:tc>
          <w:tcPr>
            <w:tcW w:w="9468" w:type="dxa"/>
            <w:gridSpan w:val="3"/>
            <w:shd w:val="clear" w:color="auto" w:fill="auto"/>
            <w:noWrap/>
            <w:vAlign w:val="bottom"/>
          </w:tcPr>
          <w:p w14:paraId="3DD49CA7" w14:textId="3A0C0CF6" w:rsidR="00010D97" w:rsidRPr="00010D97" w:rsidRDefault="00010D97" w:rsidP="00010D97">
            <w:pPr>
              <w:spacing w:before="240" w:after="1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C</w:t>
            </w:r>
            <w:r w:rsidRPr="00010D97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Helvetica" w:hAnsi="Helvetica"/>
                <w:b/>
                <w:bCs/>
                <w:sz w:val="20"/>
                <w:szCs w:val="20"/>
              </w:rPr>
              <w:t xml:space="preserve">Histological analysis of </w:t>
            </w:r>
            <w:r w:rsidRPr="006F3740">
              <w:rPr>
                <w:rFonts w:ascii="Helvetica" w:hAnsi="Helvetica"/>
                <w:b/>
                <w:bCs/>
                <w:sz w:val="20"/>
                <w:szCs w:val="20"/>
              </w:rPr>
              <w:t>NPK-CARN</w:t>
            </w:r>
            <w:r>
              <w:rPr>
                <w:rFonts w:ascii="Helvetica" w:hAnsi="Helvetic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b/>
                <w:bCs/>
                <w:sz w:val="20"/>
                <w:szCs w:val="20"/>
              </w:rPr>
              <w:t xml:space="preserve">and </w:t>
            </w:r>
            <w:r w:rsidRPr="006F3740">
              <w:rPr>
                <w:rFonts w:ascii="Helvetica" w:hAnsi="Helvetica"/>
                <w:b/>
                <w:bCs/>
                <w:sz w:val="20"/>
                <w:szCs w:val="20"/>
              </w:rPr>
              <w:t>NPKA-CARN</w:t>
            </w:r>
            <w:r>
              <w:rPr>
                <w:rFonts w:ascii="Helvetica" w:hAnsi="Helvetica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b/>
                <w:bCs/>
                <w:sz w:val="20"/>
                <w:szCs w:val="20"/>
              </w:rPr>
              <w:t>prostate tumors</w:t>
            </w:r>
          </w:p>
        </w:tc>
      </w:tr>
      <w:tr w:rsidR="00010D97" w:rsidRPr="00D602BF" w14:paraId="36C30D91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3B85" w14:textId="77777777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48B1" w14:textId="77777777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06D04" w14:textId="77777777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Phenotype</w:t>
            </w:r>
          </w:p>
        </w:tc>
      </w:tr>
      <w:tr w:rsidR="00010D97" w:rsidRPr="00D602BF" w14:paraId="771791F1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C48B7" w14:textId="35234872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E9AE7" w14:textId="30AB321E" w:rsidR="00010D97" w:rsidRPr="00BA51B0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0247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92463" w14:textId="77777777" w:rsidR="00010D97" w:rsidRDefault="00010D97" w:rsidP="00010D9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Invasive 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adenosquamous</w:t>
            </w:r>
            <w:proofErr w:type="spellEnd"/>
          </w:p>
          <w:p w14:paraId="277964AA" w14:textId="7095CE71" w:rsidR="00010D97" w:rsidRPr="007F10B7" w:rsidRDefault="00010D97" w:rsidP="00010D9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carcinoma</w:t>
            </w:r>
          </w:p>
        </w:tc>
      </w:tr>
      <w:tr w:rsidR="00010D97" w:rsidRPr="00D602BF" w14:paraId="6965F9DB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AFA1" w14:textId="5FC832C3" w:rsidR="00010D97" w:rsidRPr="00D602BF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8EAD" w14:textId="6A3C70F4" w:rsidR="00010D97" w:rsidRPr="00BA51B0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0740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B1C18" w14:textId="77777777" w:rsidR="00010D97" w:rsidRDefault="00010D97" w:rsidP="00010D9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Invasive </w:t>
            </w: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adenosquamous</w:t>
            </w:r>
            <w:proofErr w:type="spellEnd"/>
          </w:p>
          <w:p w14:paraId="3A8A5EDC" w14:textId="69317B6A" w:rsidR="00010D97" w:rsidRPr="007F10B7" w:rsidRDefault="00010D97" w:rsidP="00010D9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carcinoma</w:t>
            </w:r>
          </w:p>
        </w:tc>
      </w:tr>
      <w:tr w:rsidR="00010D97" w:rsidRPr="00D602BF" w14:paraId="0EBA983B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F41E5" w14:textId="0AB86868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A0EC" w14:textId="6B0DF0DC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0741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D3016" w14:textId="5557BA62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Invasive papillary squamous cell carcinoma</w:t>
            </w:r>
          </w:p>
        </w:tc>
      </w:tr>
      <w:tr w:rsidR="00010D97" w:rsidRPr="00D602BF" w14:paraId="2A2C4067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D9EA" w14:textId="4B7FB7CE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AE9D" w14:textId="359F2668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0242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99740" w14:textId="2AA36E73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Invasive papillary squamous cell carcinoma</w:t>
            </w:r>
          </w:p>
        </w:tc>
      </w:tr>
      <w:tr w:rsidR="00010D97" w:rsidRPr="00D602BF" w14:paraId="0D7B50C9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F7433" w14:textId="146C267C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BEFE" w14:textId="2020EC7F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0249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D07F" w14:textId="1E7897F0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Invasive papillary squamous cell carcinoma</w:t>
            </w:r>
          </w:p>
        </w:tc>
      </w:tr>
      <w:tr w:rsidR="00010D97" w:rsidRPr="00D602BF" w14:paraId="00E34157" w14:textId="77777777" w:rsidTr="00932910">
        <w:trPr>
          <w:trHeight w:val="320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6EEC8" w14:textId="565C5662" w:rsidR="00010D97" w:rsidRPr="00BA51B0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5E9A" w14:textId="49AD5ABF" w:rsidR="00010D97" w:rsidRDefault="00010D97" w:rsidP="00932910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0756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0FBA7" w14:textId="54F13D22" w:rsidR="00010D97" w:rsidRDefault="00010D9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Invasive papillary squamous cell carcinoma</w:t>
            </w:r>
          </w:p>
        </w:tc>
      </w:tr>
    </w:tbl>
    <w:p w14:paraId="70CDF299" w14:textId="3108FD4B" w:rsidR="0014174F" w:rsidRPr="00632E46" w:rsidRDefault="00632E46" w:rsidP="00632E46">
      <w:pPr>
        <w:spacing w:after="120"/>
        <w:rPr>
          <w:rFonts w:ascii="Helvetica" w:hAnsi="Helvetica"/>
          <w:b/>
          <w:bCs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lastRenderedPageBreak/>
        <w:t xml:space="preserve">D. Marker analysis of </w:t>
      </w:r>
      <w:r w:rsidRPr="006F3740">
        <w:rPr>
          <w:rFonts w:ascii="Helvetica" w:hAnsi="Helvetica"/>
          <w:b/>
          <w:bCs/>
          <w:sz w:val="20"/>
          <w:szCs w:val="20"/>
        </w:rPr>
        <w:t>NPK-CARN</w:t>
      </w:r>
      <w:r>
        <w:rPr>
          <w:rFonts w:ascii="Helvetica" w:hAnsi="Helvetica"/>
          <w:b/>
          <w:bCs/>
          <w:i/>
          <w:sz w:val="20"/>
          <w:szCs w:val="20"/>
        </w:rPr>
        <w:t xml:space="preserve"> </w:t>
      </w:r>
      <w:r>
        <w:rPr>
          <w:rFonts w:ascii="Helvetica" w:hAnsi="Helvetica"/>
          <w:b/>
          <w:bCs/>
          <w:sz w:val="20"/>
          <w:szCs w:val="20"/>
        </w:rPr>
        <w:t xml:space="preserve">and </w:t>
      </w:r>
      <w:bookmarkStart w:id="0" w:name="_GoBack"/>
      <w:r w:rsidRPr="006F3740">
        <w:rPr>
          <w:rFonts w:ascii="Helvetica" w:hAnsi="Helvetica"/>
          <w:b/>
          <w:bCs/>
          <w:sz w:val="20"/>
          <w:szCs w:val="20"/>
        </w:rPr>
        <w:t>NPKA-CARN</w:t>
      </w:r>
      <w:r>
        <w:rPr>
          <w:rFonts w:ascii="Helvetica" w:hAnsi="Helvetica"/>
          <w:b/>
          <w:bCs/>
          <w:i/>
          <w:sz w:val="20"/>
          <w:szCs w:val="20"/>
        </w:rPr>
        <w:t xml:space="preserve"> </w:t>
      </w:r>
      <w:bookmarkEnd w:id="0"/>
      <w:r>
        <w:rPr>
          <w:rFonts w:ascii="Helvetica" w:hAnsi="Helvetica"/>
          <w:b/>
          <w:bCs/>
          <w:sz w:val="20"/>
          <w:szCs w:val="20"/>
        </w:rPr>
        <w:t>prostate tumors</w:t>
      </w: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3798"/>
        <w:gridCol w:w="1253"/>
        <w:gridCol w:w="367"/>
        <w:gridCol w:w="1980"/>
        <w:gridCol w:w="90"/>
        <w:gridCol w:w="417"/>
        <w:gridCol w:w="1564"/>
        <w:gridCol w:w="10"/>
      </w:tblGrid>
      <w:tr w:rsidR="007A72A7" w:rsidRPr="004D13A4" w14:paraId="098648B3" w14:textId="77777777" w:rsidTr="007A72A7">
        <w:trPr>
          <w:gridAfter w:val="1"/>
          <w:wAfter w:w="10" w:type="dxa"/>
          <w:trHeight w:val="320"/>
        </w:trPr>
        <w:tc>
          <w:tcPr>
            <w:tcW w:w="5051" w:type="dxa"/>
            <w:gridSpan w:val="2"/>
            <w:shd w:val="clear" w:color="auto" w:fill="D9D9D9" w:themeFill="background1" w:themeFillShade="D9"/>
            <w:noWrap/>
            <w:vAlign w:val="center"/>
          </w:tcPr>
          <w:p w14:paraId="42C2E25F" w14:textId="0C7D07F5" w:rsidR="00BA51B0" w:rsidRPr="004D13A4" w:rsidRDefault="007A72A7" w:rsidP="007A72A7">
            <w:pPr>
              <w:spacing w:before="60" w:after="6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Ki67</w:t>
            </w:r>
          </w:p>
        </w:tc>
        <w:tc>
          <w:tcPr>
            <w:tcW w:w="2437" w:type="dxa"/>
            <w:gridSpan w:val="3"/>
            <w:shd w:val="clear" w:color="auto" w:fill="D9D9D9" w:themeFill="background1" w:themeFillShade="D9"/>
            <w:noWrap/>
            <w:vAlign w:val="center"/>
          </w:tcPr>
          <w:p w14:paraId="49732EA1" w14:textId="77777777" w:rsidR="00BA51B0" w:rsidRPr="004D13A4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D9D9D9" w:themeFill="background1" w:themeFillShade="D9"/>
            <w:noWrap/>
            <w:vAlign w:val="center"/>
          </w:tcPr>
          <w:p w14:paraId="62D0A157" w14:textId="77777777" w:rsidR="00BA51B0" w:rsidRPr="004D13A4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  <w:noWrap/>
            <w:vAlign w:val="center"/>
          </w:tcPr>
          <w:p w14:paraId="78CA720D" w14:textId="77777777" w:rsidR="00BA51B0" w:rsidRPr="004D13A4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C5089A" w:rsidRPr="00D602BF" w14:paraId="5BDA4F0B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FA4C2" w14:textId="77777777" w:rsidR="00BA51B0" w:rsidRPr="00D602BF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AD59" w14:textId="77777777" w:rsidR="00BA51B0" w:rsidRPr="00D602BF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0760" w14:textId="370DD37B" w:rsidR="00BA51B0" w:rsidRPr="00D602BF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Total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epithelial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B1C3" w14:textId="06CED951" w:rsidR="00BA51B0" w:rsidRPr="00D602BF" w:rsidRDefault="00C5089A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Ki67</w:t>
            </w:r>
            <w:r w:rsidR="00BA51B0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BA51B0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</w:t>
            </w:r>
            <w:r w:rsidR="00BA51B0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</w:t>
            </w:r>
            <w:r w:rsidR="00BA51B0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5089A" w:rsidRPr="00D602BF" w14:paraId="32604BDD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74497" w14:textId="1A367D81" w:rsidR="00BA51B0" w:rsidRPr="00D602BF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4EC3" w14:textId="38D1745C" w:rsidR="00BA51B0" w:rsidRPr="00BA51B0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0247,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0740,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7CFC" w14:textId="2940A90B" w:rsidR="00BA51B0" w:rsidRPr="00D602BF" w:rsidRDefault="007A72A7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7,534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1870" w14:textId="77777777" w:rsidR="007A72A7" w:rsidRDefault="007A72A7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1,454</w:t>
            </w:r>
          </w:p>
          <w:p w14:paraId="5760A9D6" w14:textId="6958631C" w:rsidR="00BA51B0" w:rsidRPr="007F10B7" w:rsidRDefault="007A72A7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(19.6 ± 2.4%)</w:t>
            </w:r>
          </w:p>
        </w:tc>
      </w:tr>
      <w:tr w:rsidR="00C5089A" w:rsidRPr="00D602BF" w14:paraId="04CF83D8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B1DF3" w14:textId="4FB976C6" w:rsidR="00BA51B0" w:rsidRPr="00D602BF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8C3C0" w14:textId="5DA15649" w:rsidR="00BA51B0" w:rsidRPr="00BA51B0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0242,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0249,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A79BD" w14:textId="4EB90E4B" w:rsidR="00BA51B0" w:rsidRPr="00D602BF" w:rsidRDefault="007A72A7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 w:rsidRPr="00CE5C5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,</w:t>
            </w:r>
            <w:r w:rsidRPr="00CE5C5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D3CA6" w14:textId="5D8B7030" w:rsidR="007A72A7" w:rsidRDefault="007A72A7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1,493</w:t>
            </w:r>
          </w:p>
          <w:p w14:paraId="34ED0B19" w14:textId="2FE2BE75" w:rsidR="00BA51B0" w:rsidRPr="007F10B7" w:rsidRDefault="00BA51B0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7A72A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19.0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</w:t>
            </w:r>
            <w:r w:rsidR="007A72A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1.3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%)</w:t>
            </w:r>
          </w:p>
        </w:tc>
      </w:tr>
    </w:tbl>
    <w:p w14:paraId="27E0D9F6" w14:textId="002C94AF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3798"/>
        <w:gridCol w:w="1253"/>
        <w:gridCol w:w="367"/>
        <w:gridCol w:w="1980"/>
        <w:gridCol w:w="90"/>
        <w:gridCol w:w="417"/>
        <w:gridCol w:w="1564"/>
        <w:gridCol w:w="10"/>
      </w:tblGrid>
      <w:tr w:rsidR="007A72A7" w:rsidRPr="004D13A4" w14:paraId="34301438" w14:textId="77777777" w:rsidTr="00932910">
        <w:trPr>
          <w:gridAfter w:val="1"/>
          <w:wAfter w:w="10" w:type="dxa"/>
          <w:trHeight w:val="320"/>
        </w:trPr>
        <w:tc>
          <w:tcPr>
            <w:tcW w:w="5051" w:type="dxa"/>
            <w:gridSpan w:val="2"/>
            <w:shd w:val="clear" w:color="auto" w:fill="D9D9D9" w:themeFill="background1" w:themeFillShade="D9"/>
            <w:noWrap/>
            <w:vAlign w:val="center"/>
          </w:tcPr>
          <w:p w14:paraId="2B74C060" w14:textId="3803CD3A" w:rsidR="007A72A7" w:rsidRPr="004D13A4" w:rsidRDefault="00D323F5" w:rsidP="00932910">
            <w:pPr>
              <w:spacing w:before="60" w:after="6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Cleaved caspase-3</w:t>
            </w:r>
          </w:p>
        </w:tc>
        <w:tc>
          <w:tcPr>
            <w:tcW w:w="2437" w:type="dxa"/>
            <w:gridSpan w:val="3"/>
            <w:shd w:val="clear" w:color="auto" w:fill="D9D9D9" w:themeFill="background1" w:themeFillShade="D9"/>
            <w:noWrap/>
            <w:vAlign w:val="center"/>
          </w:tcPr>
          <w:p w14:paraId="3904ECAF" w14:textId="77777777" w:rsidR="007A72A7" w:rsidRPr="004D13A4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D9D9D9" w:themeFill="background1" w:themeFillShade="D9"/>
            <w:noWrap/>
            <w:vAlign w:val="center"/>
          </w:tcPr>
          <w:p w14:paraId="0CF8BCD6" w14:textId="77777777" w:rsidR="007A72A7" w:rsidRPr="004D13A4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  <w:noWrap/>
            <w:vAlign w:val="center"/>
          </w:tcPr>
          <w:p w14:paraId="3D710741" w14:textId="77777777" w:rsidR="007A72A7" w:rsidRPr="004D13A4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C5089A" w:rsidRPr="00D602BF" w14:paraId="2A3121EA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6663" w14:textId="77777777" w:rsidR="007A72A7" w:rsidRPr="00D602BF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A6B9" w14:textId="77777777" w:rsidR="007A72A7" w:rsidRPr="00D602BF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0157" w14:textId="77777777" w:rsidR="007A72A7" w:rsidRPr="00D602BF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Total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epithelial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D4372" w14:textId="2E32C2A5" w:rsidR="007A72A7" w:rsidRPr="00D602BF" w:rsidRDefault="00C5089A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CC3</w:t>
            </w:r>
            <w:r w:rsidR="007A72A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7A72A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</w:t>
            </w:r>
            <w:r w:rsidR="007A72A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</w:t>
            </w:r>
            <w:r w:rsidR="007A72A7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C5089A" w:rsidRPr="00D602BF" w14:paraId="3402F98F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DC02" w14:textId="77777777" w:rsidR="007A72A7" w:rsidRPr="00D602BF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15F1" w14:textId="77777777" w:rsidR="007A72A7" w:rsidRPr="00BA51B0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0247,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0740,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57087" w14:textId="5E0AF363" w:rsidR="007A72A7" w:rsidRPr="00D602BF" w:rsidRDefault="00D323F5" w:rsidP="007A72A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7,531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1A4DD" w14:textId="77777777" w:rsidR="007A72A7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68</w:t>
            </w:r>
          </w:p>
          <w:p w14:paraId="57BACACD" w14:textId="428CDEEA" w:rsidR="00D323F5" w:rsidRPr="007F10B7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(0.93 ± 0.14%)</w:t>
            </w:r>
          </w:p>
        </w:tc>
      </w:tr>
      <w:tr w:rsidR="00C5089A" w:rsidRPr="00D602BF" w14:paraId="481F9869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A9AE" w14:textId="21AE9B69" w:rsidR="007A72A7" w:rsidRPr="00D602BF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6408" w14:textId="77777777" w:rsidR="007A72A7" w:rsidRPr="00BA51B0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0242,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0249,</w:t>
            </w:r>
            <w:r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6F6F" w14:textId="7B3EE196" w:rsidR="007A72A7" w:rsidRPr="00D602BF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6,948</w:t>
            </w:r>
          </w:p>
        </w:tc>
        <w:tc>
          <w:tcPr>
            <w:tcW w:w="2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A6FB7" w14:textId="77777777" w:rsidR="007A72A7" w:rsidRDefault="007A72A7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58</w:t>
            </w:r>
          </w:p>
          <w:p w14:paraId="4907B7B6" w14:textId="6943C23B" w:rsidR="007A72A7" w:rsidRPr="007F10B7" w:rsidRDefault="007A72A7" w:rsidP="00D323F5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(0.</w:t>
            </w:r>
            <w:r w:rsidR="00D323F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0.</w:t>
            </w:r>
            <w:r w:rsidR="00D323F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%)</w:t>
            </w:r>
          </w:p>
        </w:tc>
      </w:tr>
    </w:tbl>
    <w:p w14:paraId="781667F0" w14:textId="6C2C980B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tbl>
      <w:tblPr>
        <w:tblW w:w="9479" w:type="dxa"/>
        <w:tblLayout w:type="fixed"/>
        <w:tblLook w:val="04A0" w:firstRow="1" w:lastRow="0" w:firstColumn="1" w:lastColumn="0" w:noHBand="0" w:noVBand="1"/>
      </w:tblPr>
      <w:tblGrid>
        <w:gridCol w:w="3798"/>
        <w:gridCol w:w="1253"/>
        <w:gridCol w:w="367"/>
        <w:gridCol w:w="273"/>
        <w:gridCol w:w="1707"/>
        <w:gridCol w:w="90"/>
        <w:gridCol w:w="97"/>
        <w:gridCol w:w="320"/>
        <w:gridCol w:w="1564"/>
        <w:gridCol w:w="10"/>
      </w:tblGrid>
      <w:tr w:rsidR="00D323F5" w:rsidRPr="004D13A4" w14:paraId="62756DAC" w14:textId="77777777" w:rsidTr="00932910">
        <w:trPr>
          <w:gridAfter w:val="1"/>
          <w:wAfter w:w="10" w:type="dxa"/>
          <w:trHeight w:val="320"/>
        </w:trPr>
        <w:tc>
          <w:tcPr>
            <w:tcW w:w="5051" w:type="dxa"/>
            <w:gridSpan w:val="2"/>
            <w:shd w:val="clear" w:color="auto" w:fill="D9D9D9" w:themeFill="background1" w:themeFillShade="D9"/>
            <w:noWrap/>
            <w:vAlign w:val="center"/>
          </w:tcPr>
          <w:p w14:paraId="289719E2" w14:textId="77777777" w:rsidR="00D323F5" w:rsidRPr="004D13A4" w:rsidRDefault="00D323F5" w:rsidP="00932910">
            <w:pPr>
              <w:spacing w:before="60" w:after="6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Synaptophysin</w:t>
            </w:r>
            <w:proofErr w:type="spellEnd"/>
          </w:p>
        </w:tc>
        <w:tc>
          <w:tcPr>
            <w:tcW w:w="2437" w:type="dxa"/>
            <w:gridSpan w:val="4"/>
            <w:shd w:val="clear" w:color="auto" w:fill="D9D9D9" w:themeFill="background1" w:themeFillShade="D9"/>
            <w:noWrap/>
            <w:vAlign w:val="center"/>
          </w:tcPr>
          <w:p w14:paraId="47C8C48C" w14:textId="77777777" w:rsidR="00D323F5" w:rsidRPr="004D13A4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shd w:val="clear" w:color="auto" w:fill="D9D9D9" w:themeFill="background1" w:themeFillShade="D9"/>
            <w:noWrap/>
            <w:vAlign w:val="center"/>
          </w:tcPr>
          <w:p w14:paraId="7C2919B4" w14:textId="77777777" w:rsidR="00D323F5" w:rsidRPr="004D13A4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  <w:noWrap/>
            <w:vAlign w:val="center"/>
          </w:tcPr>
          <w:p w14:paraId="4FCC0F57" w14:textId="77777777" w:rsidR="00D323F5" w:rsidRPr="004D13A4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C5089A" w:rsidRPr="00D602BF" w14:paraId="0EC9B98B" w14:textId="77777777" w:rsidTr="00C5089A">
        <w:trPr>
          <w:trHeight w:val="32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3CFF" w14:textId="77777777" w:rsidR="00D323F5" w:rsidRPr="00D602BF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9D07E" w14:textId="77777777" w:rsidR="00D323F5" w:rsidRPr="00D602BF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 ID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1AB0" w14:textId="77777777" w:rsidR="00D323F5" w:rsidRPr="00D602BF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Total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epithelial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C8C27" w14:textId="77777777" w:rsidR="00D323F5" w:rsidRPr="00D602BF" w:rsidRDefault="00D323F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Syn</w:t>
            </w:r>
            <w:proofErr w:type="spellEnd"/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F664F" w:rsidRPr="00D602BF" w14:paraId="463CA848" w14:textId="77777777" w:rsidTr="00985750">
        <w:trPr>
          <w:trHeight w:val="140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FC942" w14:textId="77777777" w:rsidR="00FF664F" w:rsidRPr="00D602B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8FF1B" w14:textId="533E0613" w:rsidR="00FF664F" w:rsidRPr="00BA51B0" w:rsidRDefault="00FF664F" w:rsidP="00A64469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0247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957C" w14:textId="63DFB0E7" w:rsidR="00FF664F" w:rsidRPr="00D602B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3,029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9576" w14:textId="33A27B0E" w:rsidR="00FF664F" w:rsidRPr="007F10B7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F664F" w:rsidRPr="00D602BF" w14:paraId="0A45FA9D" w14:textId="77777777" w:rsidTr="00985750">
        <w:trPr>
          <w:trHeight w:val="140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9E9A" w14:textId="77777777" w:rsidR="00FF664F" w:rsidRPr="00BA51B0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E7AA" w14:textId="285F6D87" w:rsidR="00FF664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0740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1F6D" w14:textId="17926D4E" w:rsidR="00FF664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3,677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3F8D" w14:textId="027ADA1B" w:rsidR="00FF664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F664F" w:rsidRPr="00D602BF" w14:paraId="4ECA6F2B" w14:textId="77777777" w:rsidTr="00EF5D48">
        <w:trPr>
          <w:trHeight w:val="140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C0C36" w14:textId="77777777" w:rsidR="00FF664F" w:rsidRPr="00BA51B0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77D68" w14:textId="6FF98A5D" w:rsidR="00FF664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0741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2CD02" w14:textId="67780594" w:rsidR="00FF664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3,563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4FC8" w14:textId="3E0E0165" w:rsidR="00FF664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F664F" w:rsidRPr="00BE1BA4" w14:paraId="3EC7B236" w14:textId="77777777" w:rsidTr="00985750">
        <w:trPr>
          <w:trHeight w:val="140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9602" w14:textId="77777777" w:rsidR="00FF664F" w:rsidRPr="00BA51B0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C7E0D" w14:textId="5FF0643A" w:rsidR="00FF664F" w:rsidRPr="00BE1BA4" w:rsidRDefault="00FF664F" w:rsidP="00863551">
            <w:pPr>
              <w:spacing w:before="120" w:after="12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A2D2" w14:textId="24B19FB9" w:rsidR="00FF664F" w:rsidRPr="00BE1BA4" w:rsidRDefault="00DA6C25" w:rsidP="00863551">
            <w:pPr>
              <w:spacing w:before="120" w:after="1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10,269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F33ED" w14:textId="101F6AA7" w:rsidR="00FF664F" w:rsidRPr="00BE1BA4" w:rsidRDefault="00FF664F" w:rsidP="00863551">
            <w:pPr>
              <w:spacing w:before="120" w:after="1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F664F" w:rsidRPr="00BE1BA4" w14:paraId="16216811" w14:textId="77777777" w:rsidTr="009C277B">
        <w:trPr>
          <w:trHeight w:val="184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B8E3" w14:textId="77777777" w:rsidR="00FF664F" w:rsidRPr="00D602BF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Pten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Kras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LSL-G12D/+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Ar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 w:rsidRPr="00BA51B0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3860" w14:textId="0C8BD907" w:rsidR="00FF664F" w:rsidRPr="00BE1BA4" w:rsidRDefault="00FF664F" w:rsidP="00FF664F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0242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D933" w14:textId="0334F343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3,642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0659" w14:textId="3908DDB2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FF664F" w:rsidRPr="00BE1BA4" w14:paraId="0FFACC69" w14:textId="77777777" w:rsidTr="009C277B">
        <w:trPr>
          <w:trHeight w:val="183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B4092" w14:textId="77777777" w:rsidR="00FF664F" w:rsidRPr="00BA51B0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921A" w14:textId="249B8215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0249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EE143" w14:textId="3A824298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3,316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0393" w14:textId="0BA3E35E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FF664F" w:rsidRPr="00BE1BA4" w14:paraId="31BB3E32" w14:textId="77777777" w:rsidTr="00FF664F">
        <w:trPr>
          <w:trHeight w:val="183"/>
        </w:trPr>
        <w:tc>
          <w:tcPr>
            <w:tcW w:w="3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9FDA" w14:textId="77777777" w:rsidR="00FF664F" w:rsidRPr="00BA51B0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6220" w14:textId="7CDA15A6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0756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4FDF" w14:textId="184872BF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2,371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4185" w14:textId="6DDA41B5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FF664F" w:rsidRPr="00BE1BA4" w14:paraId="2197D65B" w14:textId="77777777" w:rsidTr="009C277B">
        <w:trPr>
          <w:trHeight w:val="183"/>
        </w:trPr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5EE8F" w14:textId="77777777" w:rsidR="00FF664F" w:rsidRPr="00BA51B0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A848" w14:textId="2441ECA0" w:rsidR="00FF664F" w:rsidRPr="00BE1BA4" w:rsidRDefault="00FF664F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t>Total: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C52B" w14:textId="4D493813" w:rsidR="00FF664F" w:rsidRPr="00BE1BA4" w:rsidRDefault="00DA6C2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9,329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C9810" w14:textId="77777777" w:rsidR="00FF664F" w:rsidRPr="00BE1BA4" w:rsidRDefault="00DA6C25" w:rsidP="00932910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70</w:t>
            </w:r>
          </w:p>
          <w:p w14:paraId="1D31FBDC" w14:textId="449CA841" w:rsidR="002A6112" w:rsidRPr="00BE1BA4" w:rsidRDefault="00C217F6" w:rsidP="00C217F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(0.75</w:t>
            </w:r>
            <w:r w:rsidR="002A6112"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</w:t>
            </w:r>
            <w:r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0.44</w:t>
            </w:r>
            <w:r w:rsidR="002A6112" w:rsidRPr="00BE1B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%)</w:t>
            </w:r>
          </w:p>
        </w:tc>
      </w:tr>
    </w:tbl>
    <w:p w14:paraId="0E9E5D86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6C76908E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1B947E3E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2ABBBE4E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7F808F7F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020E0130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6E504043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17BE4288" w14:textId="77777777" w:rsidR="0014174F" w:rsidRDefault="0014174F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</w:p>
    <w:p w14:paraId="6EE08936" w14:textId="677257D9" w:rsidR="00D323F5" w:rsidRDefault="00D323F5">
      <w:pPr>
        <w:rPr>
          <w:rFonts w:ascii="Helvetica" w:hAnsi="Helvetica"/>
          <w:b/>
          <w:sz w:val="20"/>
          <w:szCs w:val="20"/>
        </w:rPr>
      </w:pPr>
    </w:p>
    <w:sectPr w:rsidR="00D323F5" w:rsidSect="00823E6C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47A10" w14:textId="77777777" w:rsidR="001B6B9D" w:rsidRDefault="001B6B9D" w:rsidP="00823E6C">
      <w:r>
        <w:separator/>
      </w:r>
    </w:p>
  </w:endnote>
  <w:endnote w:type="continuationSeparator" w:id="0">
    <w:p w14:paraId="5995D644" w14:textId="77777777" w:rsidR="001B6B9D" w:rsidRDefault="001B6B9D" w:rsidP="0082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MT Std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F25D1" w14:textId="77777777" w:rsidR="001B6B9D" w:rsidRDefault="001B6B9D" w:rsidP="00823E6C">
      <w:r>
        <w:separator/>
      </w:r>
    </w:p>
  </w:footnote>
  <w:footnote w:type="continuationSeparator" w:id="0">
    <w:p w14:paraId="7155A7FF" w14:textId="77777777" w:rsidR="001B6B9D" w:rsidRDefault="001B6B9D" w:rsidP="00823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CAB5" w14:textId="71817E9C" w:rsidR="005632FA" w:rsidRPr="004A4854" w:rsidRDefault="005632FA">
    <w:pPr>
      <w:pStyle w:val="Header"/>
      <w:rPr>
        <w:rFonts w:ascii="Times New Roman MT Std" w:hAnsi="Times New Roman MT Std"/>
        <w:sz w:val="20"/>
        <w:szCs w:val="20"/>
      </w:rPr>
    </w:pPr>
    <w:r>
      <w:tab/>
    </w:r>
    <w:r>
      <w:tab/>
    </w:r>
    <w:r w:rsidRPr="0032532E">
      <w:rPr>
        <w:rFonts w:ascii="Times New Roman MT Std" w:hAnsi="Times New Roman MT Std"/>
        <w:sz w:val="22"/>
        <w:szCs w:val="22"/>
      </w:rPr>
      <w:t xml:space="preserve">Chua </w:t>
    </w:r>
    <w:r w:rsidRPr="0032532E">
      <w:rPr>
        <w:rFonts w:ascii="Times New Roman MT Std" w:hAnsi="Times New Roman MT Std"/>
        <w:i/>
        <w:sz w:val="22"/>
        <w:szCs w:val="22"/>
      </w:rPr>
      <w:t>et al</w:t>
    </w:r>
    <w:r w:rsidRPr="004A4854">
      <w:rPr>
        <w:rFonts w:ascii="Times New Roman MT Std" w:hAnsi="Times New Roman MT Std"/>
        <w:i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E"/>
    <w:rsid w:val="00010004"/>
    <w:rsid w:val="00010D97"/>
    <w:rsid w:val="00011F6D"/>
    <w:rsid w:val="0002773E"/>
    <w:rsid w:val="000338FB"/>
    <w:rsid w:val="0003512F"/>
    <w:rsid w:val="00035136"/>
    <w:rsid w:val="0004157F"/>
    <w:rsid w:val="00057C1D"/>
    <w:rsid w:val="00066A59"/>
    <w:rsid w:val="00070375"/>
    <w:rsid w:val="0007775F"/>
    <w:rsid w:val="00080972"/>
    <w:rsid w:val="00083F1E"/>
    <w:rsid w:val="000857A1"/>
    <w:rsid w:val="000877B8"/>
    <w:rsid w:val="00092D88"/>
    <w:rsid w:val="000B7967"/>
    <w:rsid w:val="000C65AB"/>
    <w:rsid w:val="000D15FE"/>
    <w:rsid w:val="000F0B05"/>
    <w:rsid w:val="0010367D"/>
    <w:rsid w:val="00104568"/>
    <w:rsid w:val="00122189"/>
    <w:rsid w:val="00127752"/>
    <w:rsid w:val="00131714"/>
    <w:rsid w:val="0014174F"/>
    <w:rsid w:val="00144819"/>
    <w:rsid w:val="00150F91"/>
    <w:rsid w:val="00156CB0"/>
    <w:rsid w:val="00170C7A"/>
    <w:rsid w:val="00172486"/>
    <w:rsid w:val="0018535F"/>
    <w:rsid w:val="00191EA6"/>
    <w:rsid w:val="00192145"/>
    <w:rsid w:val="00193D6E"/>
    <w:rsid w:val="001944AF"/>
    <w:rsid w:val="001A2DAF"/>
    <w:rsid w:val="001A5584"/>
    <w:rsid w:val="001A667C"/>
    <w:rsid w:val="001B0667"/>
    <w:rsid w:val="001B6B9D"/>
    <w:rsid w:val="001C4A30"/>
    <w:rsid w:val="001D2C53"/>
    <w:rsid w:val="001E2BBF"/>
    <w:rsid w:val="001E2E35"/>
    <w:rsid w:val="0020181A"/>
    <w:rsid w:val="002176D2"/>
    <w:rsid w:val="00221054"/>
    <w:rsid w:val="00224B65"/>
    <w:rsid w:val="00226D91"/>
    <w:rsid w:val="002274E5"/>
    <w:rsid w:val="00237F3D"/>
    <w:rsid w:val="00246716"/>
    <w:rsid w:val="00256E21"/>
    <w:rsid w:val="002573FE"/>
    <w:rsid w:val="00263A12"/>
    <w:rsid w:val="002651BE"/>
    <w:rsid w:val="00265642"/>
    <w:rsid w:val="00267702"/>
    <w:rsid w:val="002728B5"/>
    <w:rsid w:val="00275062"/>
    <w:rsid w:val="0028201C"/>
    <w:rsid w:val="002A53C6"/>
    <w:rsid w:val="002A6112"/>
    <w:rsid w:val="002B7FAD"/>
    <w:rsid w:val="002F1D0D"/>
    <w:rsid w:val="00310F50"/>
    <w:rsid w:val="00322D79"/>
    <w:rsid w:val="0032532E"/>
    <w:rsid w:val="00335663"/>
    <w:rsid w:val="0034251B"/>
    <w:rsid w:val="00343139"/>
    <w:rsid w:val="0036110D"/>
    <w:rsid w:val="00392CE3"/>
    <w:rsid w:val="00396C01"/>
    <w:rsid w:val="003A223D"/>
    <w:rsid w:val="003A7528"/>
    <w:rsid w:val="003B718B"/>
    <w:rsid w:val="003C15EB"/>
    <w:rsid w:val="003D58EB"/>
    <w:rsid w:val="003E3D7B"/>
    <w:rsid w:val="003E7B7A"/>
    <w:rsid w:val="003F3C93"/>
    <w:rsid w:val="004024FE"/>
    <w:rsid w:val="00424281"/>
    <w:rsid w:val="004317C9"/>
    <w:rsid w:val="00437D0D"/>
    <w:rsid w:val="004829D0"/>
    <w:rsid w:val="004971B3"/>
    <w:rsid w:val="0049735C"/>
    <w:rsid w:val="004A4854"/>
    <w:rsid w:val="004B44A2"/>
    <w:rsid w:val="004C01BA"/>
    <w:rsid w:val="004D13A4"/>
    <w:rsid w:val="004D324F"/>
    <w:rsid w:val="004D4C91"/>
    <w:rsid w:val="00511266"/>
    <w:rsid w:val="0051335A"/>
    <w:rsid w:val="0051355B"/>
    <w:rsid w:val="00525F07"/>
    <w:rsid w:val="00530143"/>
    <w:rsid w:val="00530F36"/>
    <w:rsid w:val="00532A7B"/>
    <w:rsid w:val="00534466"/>
    <w:rsid w:val="005542EB"/>
    <w:rsid w:val="0055491B"/>
    <w:rsid w:val="0056171A"/>
    <w:rsid w:val="005632FA"/>
    <w:rsid w:val="0056531A"/>
    <w:rsid w:val="00567A40"/>
    <w:rsid w:val="005754CF"/>
    <w:rsid w:val="0058030A"/>
    <w:rsid w:val="00580467"/>
    <w:rsid w:val="005A096D"/>
    <w:rsid w:val="005A1FEC"/>
    <w:rsid w:val="005B1F8B"/>
    <w:rsid w:val="005B6B90"/>
    <w:rsid w:val="005B6D9F"/>
    <w:rsid w:val="005E11BD"/>
    <w:rsid w:val="005E364C"/>
    <w:rsid w:val="005F1BF2"/>
    <w:rsid w:val="00600AC8"/>
    <w:rsid w:val="00602C8E"/>
    <w:rsid w:val="00604BD8"/>
    <w:rsid w:val="006122BD"/>
    <w:rsid w:val="00615B44"/>
    <w:rsid w:val="0062740C"/>
    <w:rsid w:val="006326D5"/>
    <w:rsid w:val="00632E46"/>
    <w:rsid w:val="00633949"/>
    <w:rsid w:val="00640C1C"/>
    <w:rsid w:val="0065084F"/>
    <w:rsid w:val="0068399E"/>
    <w:rsid w:val="006846FA"/>
    <w:rsid w:val="006A4294"/>
    <w:rsid w:val="006C6937"/>
    <w:rsid w:val="006D13F1"/>
    <w:rsid w:val="006D5EF1"/>
    <w:rsid w:val="006E3F6B"/>
    <w:rsid w:val="006F3740"/>
    <w:rsid w:val="006F68F0"/>
    <w:rsid w:val="00704015"/>
    <w:rsid w:val="00705CF4"/>
    <w:rsid w:val="007240E8"/>
    <w:rsid w:val="00736DBE"/>
    <w:rsid w:val="00737B56"/>
    <w:rsid w:val="00751F60"/>
    <w:rsid w:val="00752991"/>
    <w:rsid w:val="00782A56"/>
    <w:rsid w:val="007918F5"/>
    <w:rsid w:val="007A103D"/>
    <w:rsid w:val="007A53CB"/>
    <w:rsid w:val="007A72A7"/>
    <w:rsid w:val="007D6B56"/>
    <w:rsid w:val="007D6F06"/>
    <w:rsid w:val="007E190F"/>
    <w:rsid w:val="007E323F"/>
    <w:rsid w:val="007E44E5"/>
    <w:rsid w:val="007F10B7"/>
    <w:rsid w:val="00820534"/>
    <w:rsid w:val="00823E6C"/>
    <w:rsid w:val="0083012B"/>
    <w:rsid w:val="00830660"/>
    <w:rsid w:val="008318F0"/>
    <w:rsid w:val="0085481C"/>
    <w:rsid w:val="0086050C"/>
    <w:rsid w:val="00860B4E"/>
    <w:rsid w:val="00863551"/>
    <w:rsid w:val="00863A90"/>
    <w:rsid w:val="00867DE6"/>
    <w:rsid w:val="008823E1"/>
    <w:rsid w:val="0088692F"/>
    <w:rsid w:val="00886F9D"/>
    <w:rsid w:val="00895481"/>
    <w:rsid w:val="008C78F5"/>
    <w:rsid w:val="008D2886"/>
    <w:rsid w:val="008E79B0"/>
    <w:rsid w:val="008F3FBD"/>
    <w:rsid w:val="0090515F"/>
    <w:rsid w:val="00921A9D"/>
    <w:rsid w:val="009236FA"/>
    <w:rsid w:val="00924EF3"/>
    <w:rsid w:val="00932910"/>
    <w:rsid w:val="0095081B"/>
    <w:rsid w:val="0095776E"/>
    <w:rsid w:val="00980011"/>
    <w:rsid w:val="00981CAB"/>
    <w:rsid w:val="0099142D"/>
    <w:rsid w:val="00995F3A"/>
    <w:rsid w:val="009A3244"/>
    <w:rsid w:val="009A70EB"/>
    <w:rsid w:val="009B0B63"/>
    <w:rsid w:val="009D1A51"/>
    <w:rsid w:val="00A03800"/>
    <w:rsid w:val="00A075DC"/>
    <w:rsid w:val="00A14C14"/>
    <w:rsid w:val="00A3170A"/>
    <w:rsid w:val="00A329CB"/>
    <w:rsid w:val="00A41277"/>
    <w:rsid w:val="00A64469"/>
    <w:rsid w:val="00A66036"/>
    <w:rsid w:val="00A71E89"/>
    <w:rsid w:val="00A72025"/>
    <w:rsid w:val="00A7279A"/>
    <w:rsid w:val="00A74640"/>
    <w:rsid w:val="00A762A2"/>
    <w:rsid w:val="00AA348A"/>
    <w:rsid w:val="00AB1604"/>
    <w:rsid w:val="00AB2887"/>
    <w:rsid w:val="00AC17D8"/>
    <w:rsid w:val="00AC5D60"/>
    <w:rsid w:val="00AC6A2B"/>
    <w:rsid w:val="00AD6ECB"/>
    <w:rsid w:val="00AD6FBF"/>
    <w:rsid w:val="00AE692E"/>
    <w:rsid w:val="00AF3AD9"/>
    <w:rsid w:val="00AF401E"/>
    <w:rsid w:val="00AF6097"/>
    <w:rsid w:val="00B02CB8"/>
    <w:rsid w:val="00B0341B"/>
    <w:rsid w:val="00B121C0"/>
    <w:rsid w:val="00B155E8"/>
    <w:rsid w:val="00B21A1F"/>
    <w:rsid w:val="00B2571A"/>
    <w:rsid w:val="00B27C82"/>
    <w:rsid w:val="00B31C8F"/>
    <w:rsid w:val="00B33E5A"/>
    <w:rsid w:val="00B34C0A"/>
    <w:rsid w:val="00B61682"/>
    <w:rsid w:val="00B72EDA"/>
    <w:rsid w:val="00B754E1"/>
    <w:rsid w:val="00B84DAA"/>
    <w:rsid w:val="00B930FD"/>
    <w:rsid w:val="00BA51B0"/>
    <w:rsid w:val="00BB08FD"/>
    <w:rsid w:val="00BB1E1F"/>
    <w:rsid w:val="00BC0203"/>
    <w:rsid w:val="00BE01CB"/>
    <w:rsid w:val="00BE1BA4"/>
    <w:rsid w:val="00BF09EE"/>
    <w:rsid w:val="00BF1C4D"/>
    <w:rsid w:val="00C217F6"/>
    <w:rsid w:val="00C31A93"/>
    <w:rsid w:val="00C37C41"/>
    <w:rsid w:val="00C419EA"/>
    <w:rsid w:val="00C438A7"/>
    <w:rsid w:val="00C5089A"/>
    <w:rsid w:val="00C57675"/>
    <w:rsid w:val="00C61618"/>
    <w:rsid w:val="00C77012"/>
    <w:rsid w:val="00C94C5B"/>
    <w:rsid w:val="00CA4F06"/>
    <w:rsid w:val="00CA4F88"/>
    <w:rsid w:val="00CD2D4E"/>
    <w:rsid w:val="00CE5C0B"/>
    <w:rsid w:val="00CE5C5F"/>
    <w:rsid w:val="00CE702A"/>
    <w:rsid w:val="00CF2A5D"/>
    <w:rsid w:val="00D056BC"/>
    <w:rsid w:val="00D074DD"/>
    <w:rsid w:val="00D234EA"/>
    <w:rsid w:val="00D23C9B"/>
    <w:rsid w:val="00D31A45"/>
    <w:rsid w:val="00D323F5"/>
    <w:rsid w:val="00D52693"/>
    <w:rsid w:val="00D602BF"/>
    <w:rsid w:val="00D71E41"/>
    <w:rsid w:val="00D76FF4"/>
    <w:rsid w:val="00D838C9"/>
    <w:rsid w:val="00D91602"/>
    <w:rsid w:val="00DA6C25"/>
    <w:rsid w:val="00DB7539"/>
    <w:rsid w:val="00DB7AEA"/>
    <w:rsid w:val="00DC04FE"/>
    <w:rsid w:val="00DC77FB"/>
    <w:rsid w:val="00DD6214"/>
    <w:rsid w:val="00DE0538"/>
    <w:rsid w:val="00DE078F"/>
    <w:rsid w:val="00DF356D"/>
    <w:rsid w:val="00DF4DA0"/>
    <w:rsid w:val="00DF6CB5"/>
    <w:rsid w:val="00E0604E"/>
    <w:rsid w:val="00E37569"/>
    <w:rsid w:val="00E45363"/>
    <w:rsid w:val="00E509F2"/>
    <w:rsid w:val="00E61751"/>
    <w:rsid w:val="00E860F3"/>
    <w:rsid w:val="00E90271"/>
    <w:rsid w:val="00E9423C"/>
    <w:rsid w:val="00EA3999"/>
    <w:rsid w:val="00EF6CB9"/>
    <w:rsid w:val="00F0110E"/>
    <w:rsid w:val="00F05F85"/>
    <w:rsid w:val="00F12EF1"/>
    <w:rsid w:val="00F327C1"/>
    <w:rsid w:val="00F420B1"/>
    <w:rsid w:val="00F5204B"/>
    <w:rsid w:val="00F63088"/>
    <w:rsid w:val="00F80D5C"/>
    <w:rsid w:val="00F9450B"/>
    <w:rsid w:val="00F9522B"/>
    <w:rsid w:val="00F9539F"/>
    <w:rsid w:val="00FA08E7"/>
    <w:rsid w:val="00FB1883"/>
    <w:rsid w:val="00FB69E5"/>
    <w:rsid w:val="00FB7031"/>
    <w:rsid w:val="00FC1C42"/>
    <w:rsid w:val="00FC4C80"/>
    <w:rsid w:val="00FC6875"/>
    <w:rsid w:val="00FD10D4"/>
    <w:rsid w:val="00FE0CDF"/>
    <w:rsid w:val="00FE2393"/>
    <w:rsid w:val="00FE73CB"/>
    <w:rsid w:val="00FF664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200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6C"/>
  </w:style>
  <w:style w:type="paragraph" w:styleId="Footer">
    <w:name w:val="footer"/>
    <w:basedOn w:val="Normal"/>
    <w:link w:val="Foot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6C"/>
  </w:style>
  <w:style w:type="character" w:styleId="CommentReference">
    <w:name w:val="annotation reference"/>
    <w:basedOn w:val="DefaultParagraphFont"/>
    <w:uiPriority w:val="99"/>
    <w:semiHidden/>
    <w:unhideWhenUsed/>
    <w:rsid w:val="004024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4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4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4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0C9677-93D7-644F-855B-123556E6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467</Words>
  <Characters>2668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Wai Chua</dc:creator>
  <cp:keywords/>
  <dc:description/>
  <cp:lastModifiedBy>Michael Shen</cp:lastModifiedBy>
  <cp:revision>3</cp:revision>
  <cp:lastPrinted>2017-03-27T21:29:00Z</cp:lastPrinted>
  <dcterms:created xsi:type="dcterms:W3CDTF">2017-11-28T01:17:00Z</dcterms:created>
  <dcterms:modified xsi:type="dcterms:W3CDTF">2017-11-28T01:18:00Z</dcterms:modified>
</cp:coreProperties>
</file>