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E5F08" w14:textId="77777777" w:rsidR="004311CE" w:rsidRPr="004311CE" w:rsidRDefault="004311CE" w:rsidP="004311CE">
      <w:pPr>
        <w:rPr>
          <w:rFonts w:asciiTheme="minorHAnsi" w:hAnsiTheme="minorHAnsi" w:cs="Arial"/>
          <w:b/>
          <w:sz w:val="22"/>
          <w:szCs w:val="22"/>
          <w:lang w:val="de-DE"/>
        </w:rPr>
      </w:pPr>
      <w:r w:rsidRPr="004311CE">
        <w:rPr>
          <w:rFonts w:asciiTheme="minorHAnsi" w:hAnsiTheme="minorHAnsi" w:cs="Arial"/>
          <w:b/>
          <w:sz w:val="22"/>
          <w:szCs w:val="22"/>
          <w:lang w:val="de-DE"/>
        </w:rPr>
        <w:t>Supplementary file 1</w:t>
      </w:r>
    </w:p>
    <w:p w14:paraId="27F06616" w14:textId="77777777" w:rsidR="004311CE" w:rsidRPr="004311CE" w:rsidRDefault="004311CE" w:rsidP="004311CE">
      <w:pPr>
        <w:rPr>
          <w:rFonts w:asciiTheme="minorHAnsi" w:hAnsiTheme="minorHAnsi" w:cs="Arial"/>
          <w:b/>
          <w:sz w:val="22"/>
          <w:szCs w:val="22"/>
          <w:lang w:val="de-DE"/>
        </w:rPr>
      </w:pPr>
    </w:p>
    <w:tbl>
      <w:tblPr>
        <w:tblStyle w:val="TableGrid"/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74"/>
        <w:gridCol w:w="2244"/>
        <w:gridCol w:w="2243"/>
        <w:gridCol w:w="2103"/>
        <w:gridCol w:w="1104"/>
        <w:gridCol w:w="1108"/>
      </w:tblGrid>
      <w:tr w:rsidR="004311CE" w:rsidRPr="004311CE" w14:paraId="71E6EEAE" w14:textId="77777777" w:rsidTr="00805BB5">
        <w:trPr>
          <w:jc w:val="center"/>
        </w:trPr>
        <w:tc>
          <w:tcPr>
            <w:tcW w:w="351" w:type="pct"/>
            <w:tcBorders>
              <w:tr2bl w:val="single" w:sz="8" w:space="0" w:color="auto"/>
            </w:tcBorders>
            <w:vAlign w:val="center"/>
          </w:tcPr>
          <w:p w14:paraId="4C892BF7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</w:p>
        </w:tc>
        <w:tc>
          <w:tcPr>
            <w:tcW w:w="1185" w:type="pct"/>
            <w:vAlign w:val="center"/>
          </w:tcPr>
          <w:p w14:paraId="456888A2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4311CE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Parameters</w:t>
            </w:r>
          </w:p>
        </w:tc>
        <w:tc>
          <w:tcPr>
            <w:tcW w:w="1184" w:type="pct"/>
            <w:shd w:val="clear" w:color="auto" w:fill="A6A6A6" w:themeFill="background1" w:themeFillShade="A6"/>
            <w:vAlign w:val="center"/>
          </w:tcPr>
          <w:p w14:paraId="564E89E3" w14:textId="77777777" w:rsidR="004311CE" w:rsidRPr="0056007E" w:rsidRDefault="004311CE" w:rsidP="00745B34">
            <w:pPr>
              <w:jc w:val="center"/>
              <w:rPr>
                <w:rFonts w:asciiTheme="minorHAnsi" w:hAnsiTheme="minorHAnsi" w:cs="Arial"/>
                <w:b/>
                <w:noProof/>
                <w:sz w:val="22"/>
                <w:szCs w:val="22"/>
                <w:vertAlign w:val="superscript"/>
              </w:rPr>
            </w:pPr>
            <w:r w:rsidRPr="0056007E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>RBE</w:t>
            </w:r>
            <w:r w:rsidRPr="0056007E">
              <w:rPr>
                <w:rFonts w:asciiTheme="minorHAnsi" w:hAnsiTheme="minorHAnsi" w:cs="Arial"/>
                <w:b/>
                <w:noProof/>
                <w:sz w:val="22"/>
                <w:szCs w:val="22"/>
                <w:vertAlign w:val="superscript"/>
              </w:rPr>
              <w:t>WT/WT</w:t>
            </w:r>
          </w:p>
          <w:p w14:paraId="1E0CBDE8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i/>
                <w:noProof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i/>
                <w:noProof/>
                <w:sz w:val="22"/>
                <w:szCs w:val="22"/>
              </w:rPr>
              <w:t xml:space="preserve">(n </w:t>
            </w:r>
            <w:r w:rsidRPr="004311CE">
              <w:rPr>
                <w:rFonts w:asciiTheme="minorHAnsi" w:hAnsiTheme="minorHAnsi" w:cs="Arial"/>
                <w:noProof/>
                <w:sz w:val="22"/>
                <w:szCs w:val="22"/>
              </w:rPr>
              <w:t>= 9 ribbons</w:t>
            </w:r>
            <w:r w:rsidRPr="004311CE">
              <w:rPr>
                <w:rFonts w:asciiTheme="minorHAnsi" w:hAnsiTheme="minorHAnsi" w:cs="Arial"/>
                <w:i/>
                <w:noProof/>
                <w:sz w:val="22"/>
                <w:szCs w:val="22"/>
              </w:rPr>
              <w:t>,</w:t>
            </w:r>
          </w:p>
          <w:p w14:paraId="69DE2B18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N = 3 animals)</w:t>
            </w:r>
          </w:p>
          <w:p w14:paraId="0B28324E" w14:textId="15058298" w:rsidR="004311CE" w:rsidRPr="004311CE" w:rsidRDefault="004311CE" w:rsidP="00745B3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b/>
                <w:sz w:val="22"/>
                <w:szCs w:val="22"/>
              </w:rPr>
              <w:t>[mean ± (S</w:t>
            </w:r>
            <w:r w:rsidR="006441B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Pr="004311CE">
              <w:rPr>
                <w:rFonts w:asciiTheme="minorHAnsi" w:hAnsiTheme="minorHAnsi" w:cs="Arial"/>
                <w:b/>
                <w:sz w:val="22"/>
                <w:szCs w:val="22"/>
              </w:rPr>
              <w:t>E</w:t>
            </w:r>
            <w:r w:rsidR="006441B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Pr="004311CE">
              <w:rPr>
                <w:rFonts w:asciiTheme="minorHAnsi" w:hAnsiTheme="minorHAnsi" w:cs="Arial"/>
                <w:b/>
                <w:sz w:val="22"/>
                <w:szCs w:val="22"/>
              </w:rPr>
              <w:t>M</w:t>
            </w:r>
            <w:r w:rsidR="006441B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Pr="004311CE">
              <w:rPr>
                <w:rFonts w:asciiTheme="minorHAnsi" w:hAnsiTheme="minorHAnsi" w:cs="Arial"/>
                <w:b/>
                <w:sz w:val="22"/>
                <w:szCs w:val="22"/>
              </w:rPr>
              <w:t>), (S</w:t>
            </w:r>
            <w:r w:rsidR="006441B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Pr="004311CE">
              <w:rPr>
                <w:rFonts w:asciiTheme="minorHAnsi" w:hAnsiTheme="minorHAnsi" w:cs="Arial"/>
                <w:b/>
                <w:sz w:val="22"/>
                <w:szCs w:val="22"/>
              </w:rPr>
              <w:t>D</w:t>
            </w:r>
            <w:r w:rsidR="006441B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bookmarkStart w:id="0" w:name="_GoBack"/>
            <w:bookmarkEnd w:id="0"/>
            <w:r w:rsidRPr="004311CE">
              <w:rPr>
                <w:rFonts w:asciiTheme="minorHAnsi" w:hAnsiTheme="minorHAnsi" w:cs="Arial"/>
                <w:b/>
                <w:sz w:val="22"/>
                <w:szCs w:val="22"/>
              </w:rPr>
              <w:t>)]</w:t>
            </w:r>
          </w:p>
        </w:tc>
        <w:tc>
          <w:tcPr>
            <w:tcW w:w="1111" w:type="pct"/>
            <w:shd w:val="clear" w:color="auto" w:fill="E5B8B7" w:themeFill="accent2" w:themeFillTint="66"/>
            <w:vAlign w:val="center"/>
          </w:tcPr>
          <w:p w14:paraId="201E941C" w14:textId="77777777" w:rsidR="004311CE" w:rsidRPr="006441B1" w:rsidRDefault="004311CE" w:rsidP="00745B34">
            <w:pPr>
              <w:jc w:val="center"/>
              <w:rPr>
                <w:rFonts w:asciiTheme="minorHAnsi" w:hAnsiTheme="minorHAnsi" w:cs="Arial"/>
                <w:b/>
                <w:noProof/>
                <w:sz w:val="22"/>
                <w:szCs w:val="22"/>
                <w:vertAlign w:val="superscript"/>
                <w:lang w:val="de-DE"/>
              </w:rPr>
            </w:pPr>
            <w:r w:rsidRPr="006441B1">
              <w:rPr>
                <w:rFonts w:asciiTheme="minorHAnsi" w:hAnsiTheme="minorHAnsi" w:cs="Arial"/>
                <w:b/>
                <w:noProof/>
                <w:sz w:val="22"/>
                <w:szCs w:val="22"/>
                <w:lang w:val="de-DE"/>
              </w:rPr>
              <w:t>RBE</w:t>
            </w:r>
            <w:r w:rsidRPr="006441B1">
              <w:rPr>
                <w:rFonts w:asciiTheme="minorHAnsi" w:hAnsiTheme="minorHAnsi" w:cs="Arial"/>
                <w:b/>
                <w:noProof/>
                <w:sz w:val="22"/>
                <w:szCs w:val="22"/>
                <w:vertAlign w:val="superscript"/>
                <w:lang w:val="de-DE"/>
              </w:rPr>
              <w:t>KO/KO</w:t>
            </w:r>
          </w:p>
          <w:p w14:paraId="5024AB5F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i/>
                <w:noProof/>
                <w:sz w:val="22"/>
                <w:szCs w:val="22"/>
                <w:lang w:val="de-DE"/>
              </w:rPr>
            </w:pPr>
            <w:r w:rsidRPr="00805BB5">
              <w:rPr>
                <w:rFonts w:asciiTheme="minorHAnsi" w:hAnsiTheme="minorHAnsi" w:cs="Arial"/>
                <w:i/>
                <w:noProof/>
                <w:sz w:val="22"/>
                <w:szCs w:val="22"/>
                <w:lang w:val="de-DE"/>
              </w:rPr>
              <w:t xml:space="preserve">(n </w:t>
            </w:r>
            <w:r w:rsidRPr="00805BB5">
              <w:rPr>
                <w:rFonts w:asciiTheme="minorHAnsi" w:hAnsiTheme="minorHAnsi" w:cs="Arial"/>
                <w:noProof/>
                <w:sz w:val="22"/>
                <w:szCs w:val="22"/>
                <w:lang w:val="de-DE"/>
              </w:rPr>
              <w:t>= 11 PDs</w:t>
            </w:r>
            <w:r w:rsidRPr="00805BB5">
              <w:rPr>
                <w:rFonts w:asciiTheme="minorHAnsi" w:hAnsiTheme="minorHAnsi" w:cs="Arial"/>
                <w:i/>
                <w:noProof/>
                <w:sz w:val="22"/>
                <w:szCs w:val="22"/>
                <w:lang w:val="de-DE"/>
              </w:rPr>
              <w:t>,</w:t>
            </w:r>
          </w:p>
          <w:p w14:paraId="29CF3401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  <w:lang w:val="de-DE"/>
              </w:rPr>
              <w:t>N = 3 animals)</w:t>
            </w:r>
          </w:p>
          <w:p w14:paraId="0D0AD1B3" w14:textId="77777777" w:rsidR="004311CE" w:rsidRPr="006441B1" w:rsidRDefault="004311CE" w:rsidP="00745B3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6441B1">
              <w:rPr>
                <w:rFonts w:asciiTheme="minorHAnsi" w:hAnsiTheme="minorHAnsi" w:cs="Arial"/>
                <w:b/>
                <w:sz w:val="22"/>
                <w:szCs w:val="22"/>
              </w:rPr>
              <w:t>[mean ± (S.E.M.), (S.D.)]</w:t>
            </w:r>
          </w:p>
        </w:tc>
        <w:tc>
          <w:tcPr>
            <w:tcW w:w="589" w:type="pct"/>
            <w:vAlign w:val="center"/>
          </w:tcPr>
          <w:p w14:paraId="731B7081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  <w:lang w:val="de-DE"/>
              </w:rPr>
            </w:pPr>
            <w:r w:rsidRPr="004311CE">
              <w:rPr>
                <w:rFonts w:asciiTheme="minorHAnsi" w:hAnsiTheme="minorHAnsi" w:cs="Arial"/>
                <w:b/>
                <w:i/>
                <w:sz w:val="22"/>
                <w:szCs w:val="22"/>
                <w:lang w:val="de-DE"/>
              </w:rPr>
              <w:t>p-values</w:t>
            </w:r>
          </w:p>
        </w:tc>
        <w:tc>
          <w:tcPr>
            <w:tcW w:w="579" w:type="pct"/>
            <w:vAlign w:val="center"/>
          </w:tcPr>
          <w:p w14:paraId="7EB7F2B4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4311CE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Statistical tests</w:t>
            </w:r>
          </w:p>
        </w:tc>
      </w:tr>
      <w:tr w:rsidR="004311CE" w:rsidRPr="004311CE" w14:paraId="4745BE60" w14:textId="77777777" w:rsidTr="00F23020">
        <w:trPr>
          <w:jc w:val="center"/>
        </w:trPr>
        <w:tc>
          <w:tcPr>
            <w:tcW w:w="351" w:type="pct"/>
            <w:vMerge w:val="restart"/>
            <w:textDirection w:val="btLr"/>
            <w:vAlign w:val="center"/>
          </w:tcPr>
          <w:p w14:paraId="435F7CD3" w14:textId="77777777" w:rsidR="004311CE" w:rsidRPr="004311CE" w:rsidRDefault="004311CE" w:rsidP="00745B34">
            <w:pPr>
              <w:ind w:left="113" w:right="113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4311CE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Membrane-proximal </w:t>
            </w:r>
            <w:proofErr w:type="spellStart"/>
            <w:r w:rsidRPr="004311CE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SVs</w:t>
            </w:r>
            <w:proofErr w:type="spellEnd"/>
            <w:r w:rsidRPr="004311CE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 </w:t>
            </w:r>
          </w:p>
          <w:p w14:paraId="41448EFB" w14:textId="77777777" w:rsidR="004311CE" w:rsidRPr="004311CE" w:rsidRDefault="004311CE" w:rsidP="00745B34">
            <w:pPr>
              <w:ind w:left="113" w:right="113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4311CE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(MP-</w:t>
            </w:r>
            <w:proofErr w:type="spellStart"/>
            <w:r w:rsidRPr="004311CE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SVs</w:t>
            </w:r>
            <w:proofErr w:type="spellEnd"/>
            <w:r w:rsidRPr="004311CE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1185" w:type="pct"/>
            <w:vAlign w:val="center"/>
          </w:tcPr>
          <w:p w14:paraId="7E2E1556" w14:textId="77777777" w:rsidR="004311CE" w:rsidRPr="004311CE" w:rsidRDefault="004311CE" w:rsidP="00745B3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SV number</w:t>
            </w:r>
          </w:p>
        </w:tc>
        <w:tc>
          <w:tcPr>
            <w:tcW w:w="1184" w:type="pct"/>
            <w:vAlign w:val="center"/>
          </w:tcPr>
          <w:p w14:paraId="48F5827F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12.33 ± (0.65), (1.93)</w:t>
            </w:r>
          </w:p>
        </w:tc>
        <w:tc>
          <w:tcPr>
            <w:tcW w:w="1111" w:type="pct"/>
            <w:vAlign w:val="center"/>
          </w:tcPr>
          <w:p w14:paraId="0D9C1E87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</w:rPr>
              <w:t>7.18 ± (0.81), (2.71)</w:t>
            </w:r>
          </w:p>
        </w:tc>
        <w:tc>
          <w:tcPr>
            <w:tcW w:w="589" w:type="pct"/>
            <w:vAlign w:val="center"/>
          </w:tcPr>
          <w:p w14:paraId="394BD319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b/>
                <w:i/>
                <w:sz w:val="22"/>
                <w:szCs w:val="22"/>
              </w:rPr>
              <w:t>0.0001</w:t>
            </w:r>
          </w:p>
        </w:tc>
        <w:tc>
          <w:tcPr>
            <w:tcW w:w="579" w:type="pct"/>
            <w:vAlign w:val="center"/>
          </w:tcPr>
          <w:p w14:paraId="2CEE2672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Mann-Whitney-Wilcoxon test</w:t>
            </w:r>
          </w:p>
        </w:tc>
      </w:tr>
      <w:tr w:rsidR="004311CE" w:rsidRPr="004311CE" w14:paraId="0407B885" w14:textId="77777777" w:rsidTr="00F23020">
        <w:trPr>
          <w:jc w:val="center"/>
        </w:trPr>
        <w:tc>
          <w:tcPr>
            <w:tcW w:w="351" w:type="pct"/>
            <w:vMerge/>
            <w:vAlign w:val="center"/>
          </w:tcPr>
          <w:p w14:paraId="59A55658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5" w:type="pct"/>
            <w:vAlign w:val="center"/>
          </w:tcPr>
          <w:p w14:paraId="36EE5645" w14:textId="77777777" w:rsidR="004311CE" w:rsidRPr="004311CE" w:rsidRDefault="004311CE" w:rsidP="00745B3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Fraction of tethered SVs</w:t>
            </w:r>
          </w:p>
        </w:tc>
        <w:tc>
          <w:tcPr>
            <w:tcW w:w="1184" w:type="pct"/>
            <w:vAlign w:val="center"/>
          </w:tcPr>
          <w:p w14:paraId="707068E9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0.61 ± (0.04), (0.12)</w:t>
            </w:r>
          </w:p>
        </w:tc>
        <w:tc>
          <w:tcPr>
            <w:tcW w:w="1111" w:type="pct"/>
            <w:vAlign w:val="center"/>
          </w:tcPr>
          <w:p w14:paraId="2375964D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</w:rPr>
              <w:t>0.74 ± (0.05), (0.17)</w:t>
            </w:r>
          </w:p>
        </w:tc>
        <w:tc>
          <w:tcPr>
            <w:tcW w:w="589" w:type="pct"/>
            <w:vAlign w:val="center"/>
          </w:tcPr>
          <w:p w14:paraId="7113D1ED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i/>
                <w:sz w:val="22"/>
                <w:szCs w:val="22"/>
              </w:rPr>
              <w:t>0.06</w:t>
            </w:r>
          </w:p>
        </w:tc>
        <w:tc>
          <w:tcPr>
            <w:tcW w:w="579" w:type="pct"/>
            <w:vAlign w:val="center"/>
          </w:tcPr>
          <w:p w14:paraId="206955A7" w14:textId="77777777" w:rsidR="004311CE" w:rsidRPr="004311CE" w:rsidRDefault="004311CE" w:rsidP="00745B34">
            <w:pPr>
              <w:tabs>
                <w:tab w:val="left" w:pos="250"/>
                <w:tab w:val="center" w:pos="515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t-test</w:t>
            </w:r>
          </w:p>
        </w:tc>
      </w:tr>
      <w:tr w:rsidR="004311CE" w:rsidRPr="004311CE" w14:paraId="76F11C4B" w14:textId="77777777" w:rsidTr="00F23020">
        <w:trPr>
          <w:jc w:val="center"/>
        </w:trPr>
        <w:tc>
          <w:tcPr>
            <w:tcW w:w="351" w:type="pct"/>
            <w:vMerge/>
            <w:vAlign w:val="center"/>
          </w:tcPr>
          <w:p w14:paraId="373E796B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5" w:type="pct"/>
            <w:vAlign w:val="center"/>
          </w:tcPr>
          <w:p w14:paraId="72C4D310" w14:textId="77777777" w:rsidR="004311CE" w:rsidRPr="004311CE" w:rsidRDefault="004311CE" w:rsidP="00776E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Fraction of SVs</w:t>
            </w:r>
            <w:r w:rsidR="00776E76">
              <w:rPr>
                <w:rFonts w:asciiTheme="minorHAnsi" w:hAnsiTheme="minorHAnsi" w:cs="Arial"/>
                <w:sz w:val="22"/>
                <w:szCs w:val="22"/>
              </w:rPr>
              <w:t xml:space="preserve"> with </w:t>
            </w:r>
            <w:r w:rsidR="00776E76" w:rsidRPr="004311CE">
              <w:rPr>
                <w:rFonts w:asciiTheme="minorHAnsi" w:hAnsiTheme="minorHAnsi" w:cs="Arial"/>
                <w:sz w:val="22"/>
                <w:szCs w:val="22"/>
              </w:rPr>
              <w:t>single tether</w:t>
            </w:r>
          </w:p>
        </w:tc>
        <w:tc>
          <w:tcPr>
            <w:tcW w:w="1184" w:type="pct"/>
            <w:vAlign w:val="center"/>
          </w:tcPr>
          <w:p w14:paraId="03E1FAD0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noProof/>
                <w:sz w:val="22"/>
                <w:szCs w:val="22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694BCB" wp14:editId="318D632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165735</wp:posOffset>
                      </wp:positionV>
                      <wp:extent cx="0" cy="368300"/>
                      <wp:effectExtent l="95250" t="38100" r="95250" b="508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83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-5.45pt;margin-top:13.05pt;width:0;height:2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" strokecolor="black [3040]" strokeweight="1pt">
                      <v:stroke startarrow="open" endarrow="open"/>
                    </v:shape>
                  </w:pict>
                </mc:Fallback>
              </mc:AlternateContent>
            </w:r>
            <w:r w:rsidRPr="004311CE">
              <w:rPr>
                <w:rFonts w:asciiTheme="minorHAnsi" w:hAnsiTheme="minorHAnsi" w:cs="Arial"/>
                <w:sz w:val="22"/>
                <w:szCs w:val="22"/>
              </w:rPr>
              <w:t>0.58 ± (0.03), (0.10)</w:t>
            </w:r>
          </w:p>
        </w:tc>
        <w:tc>
          <w:tcPr>
            <w:tcW w:w="1111" w:type="pct"/>
            <w:vAlign w:val="center"/>
          </w:tcPr>
          <w:p w14:paraId="0F5FA38E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</w:rPr>
              <w:t>0.51 ± (0.60), (0.19)</w:t>
            </w:r>
          </w:p>
        </w:tc>
        <w:tc>
          <w:tcPr>
            <w:tcW w:w="589" w:type="pct"/>
            <w:vAlign w:val="center"/>
          </w:tcPr>
          <w:p w14:paraId="63123595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i/>
                <w:sz w:val="22"/>
                <w:szCs w:val="22"/>
              </w:rPr>
              <w:t>0.64</w:t>
            </w:r>
          </w:p>
        </w:tc>
        <w:tc>
          <w:tcPr>
            <w:tcW w:w="579" w:type="pct"/>
            <w:vMerge w:val="restart"/>
            <w:vAlign w:val="center"/>
          </w:tcPr>
          <w:p w14:paraId="4C9E7B68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Tukey’s test</w:t>
            </w:r>
          </w:p>
        </w:tc>
      </w:tr>
      <w:tr w:rsidR="004311CE" w:rsidRPr="004311CE" w14:paraId="7C2B13D0" w14:textId="77777777" w:rsidTr="00F23020">
        <w:trPr>
          <w:jc w:val="center"/>
        </w:trPr>
        <w:tc>
          <w:tcPr>
            <w:tcW w:w="351" w:type="pct"/>
            <w:vMerge/>
            <w:vAlign w:val="center"/>
          </w:tcPr>
          <w:p w14:paraId="1AD76F72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5" w:type="pct"/>
            <w:vAlign w:val="center"/>
          </w:tcPr>
          <w:p w14:paraId="55DB282D" w14:textId="77777777" w:rsidR="004311CE" w:rsidRPr="004311CE" w:rsidRDefault="004311CE" w:rsidP="00776E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Fraction of SVs</w:t>
            </w:r>
            <w:r w:rsidR="00776E76">
              <w:rPr>
                <w:rFonts w:asciiTheme="minorHAnsi" w:hAnsiTheme="minorHAnsi" w:cs="Arial"/>
                <w:sz w:val="22"/>
                <w:szCs w:val="22"/>
              </w:rPr>
              <w:t xml:space="preserve"> with multiple tethers</w:t>
            </w:r>
          </w:p>
        </w:tc>
        <w:tc>
          <w:tcPr>
            <w:tcW w:w="1184" w:type="pct"/>
            <w:vAlign w:val="center"/>
          </w:tcPr>
          <w:p w14:paraId="53A1364A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noProof/>
                <w:color w:val="FF0000"/>
                <w:sz w:val="22"/>
                <w:szCs w:val="22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2239D9" wp14:editId="7411E969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-93980</wp:posOffset>
                      </wp:positionV>
                      <wp:extent cx="381000" cy="0"/>
                      <wp:effectExtent l="38100" t="76200" r="19050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shape id="Straight Arrow Connector 9" o:spid="_x0000_s1026" type="#_x0000_t32" style="position:absolute;margin-left:92.25pt;margin-top:-7.4pt;width:30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" strokecolor="black [3040]" strokeweight="1pt">
                      <v:stroke startarrow="open" endarrow="open"/>
                    </v:shape>
                  </w:pict>
                </mc:Fallback>
              </mc:AlternateContent>
            </w:r>
            <w:r w:rsidRPr="004311CE">
              <w:rPr>
                <w:rFonts w:asciiTheme="minorHAnsi" w:hAnsiTheme="minorHAnsi" w:cs="Arial"/>
                <w:sz w:val="22"/>
                <w:szCs w:val="22"/>
              </w:rPr>
              <w:t>0.03 ± (0.01), (0.04)</w:t>
            </w:r>
          </w:p>
        </w:tc>
        <w:tc>
          <w:tcPr>
            <w:tcW w:w="1111" w:type="pct"/>
            <w:vAlign w:val="center"/>
          </w:tcPr>
          <w:p w14:paraId="6AAC9CF5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</w:rPr>
              <w:t>0.22 ± (0.03), (0.11)</w:t>
            </w:r>
          </w:p>
        </w:tc>
        <w:tc>
          <w:tcPr>
            <w:tcW w:w="589" w:type="pct"/>
            <w:tcBorders>
              <w:bottom w:val="single" w:sz="8" w:space="0" w:color="auto"/>
            </w:tcBorders>
            <w:vAlign w:val="center"/>
          </w:tcPr>
          <w:p w14:paraId="7B0E484E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b/>
                <w:i/>
                <w:sz w:val="22"/>
                <w:szCs w:val="22"/>
              </w:rPr>
              <w:t>0.008</w:t>
            </w:r>
          </w:p>
        </w:tc>
        <w:tc>
          <w:tcPr>
            <w:tcW w:w="579" w:type="pct"/>
            <w:vMerge/>
            <w:vAlign w:val="center"/>
          </w:tcPr>
          <w:p w14:paraId="6DF8C85A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311CE" w:rsidRPr="004311CE" w14:paraId="12FACF46" w14:textId="77777777" w:rsidTr="00F23020">
        <w:trPr>
          <w:jc w:val="center"/>
        </w:trPr>
        <w:tc>
          <w:tcPr>
            <w:tcW w:w="351" w:type="pct"/>
            <w:vMerge/>
            <w:vAlign w:val="center"/>
          </w:tcPr>
          <w:p w14:paraId="1BA3FACA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5" w:type="pct"/>
            <w:vAlign w:val="center"/>
          </w:tcPr>
          <w:p w14:paraId="7CD8E455" w14:textId="77777777" w:rsidR="004311CE" w:rsidRPr="004311CE" w:rsidRDefault="004311CE" w:rsidP="00745B3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b/>
                <w:i/>
                <w:sz w:val="22"/>
                <w:szCs w:val="22"/>
              </w:rPr>
              <w:t>p-values</w:t>
            </w:r>
          </w:p>
        </w:tc>
        <w:tc>
          <w:tcPr>
            <w:tcW w:w="1184" w:type="pct"/>
            <w:vAlign w:val="center"/>
          </w:tcPr>
          <w:p w14:paraId="27BC7FA0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b/>
                <w:i/>
                <w:sz w:val="22"/>
                <w:szCs w:val="22"/>
              </w:rPr>
              <w:t>4.87E-10</w:t>
            </w:r>
          </w:p>
        </w:tc>
        <w:tc>
          <w:tcPr>
            <w:tcW w:w="1111" w:type="pct"/>
            <w:vAlign w:val="center"/>
          </w:tcPr>
          <w:p w14:paraId="0578E296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i/>
                <w:sz w:val="22"/>
                <w:szCs w:val="22"/>
              </w:rPr>
              <w:t>4.21E-05</w:t>
            </w:r>
          </w:p>
        </w:tc>
        <w:tc>
          <w:tcPr>
            <w:tcW w:w="589" w:type="pct"/>
            <w:tcBorders>
              <w:tr2bl w:val="single" w:sz="8" w:space="0" w:color="auto"/>
            </w:tcBorders>
            <w:vAlign w:val="center"/>
          </w:tcPr>
          <w:p w14:paraId="09995695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  <w:tc>
          <w:tcPr>
            <w:tcW w:w="579" w:type="pct"/>
            <w:vMerge/>
            <w:vAlign w:val="center"/>
          </w:tcPr>
          <w:p w14:paraId="5A9B4D8C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311CE" w:rsidRPr="004311CE" w14:paraId="7AC95958" w14:textId="77777777" w:rsidTr="00F23020">
        <w:trPr>
          <w:trHeight w:val="501"/>
          <w:jc w:val="center"/>
        </w:trPr>
        <w:tc>
          <w:tcPr>
            <w:tcW w:w="351" w:type="pct"/>
            <w:vMerge/>
            <w:vAlign w:val="center"/>
          </w:tcPr>
          <w:p w14:paraId="3AEE7AFC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5" w:type="pct"/>
            <w:vAlign w:val="center"/>
          </w:tcPr>
          <w:p w14:paraId="69F0E51E" w14:textId="77777777" w:rsidR="004311CE" w:rsidRPr="004311CE" w:rsidRDefault="004311CE" w:rsidP="00745B3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Diameter of SVs</w:t>
            </w:r>
          </w:p>
        </w:tc>
        <w:tc>
          <w:tcPr>
            <w:tcW w:w="1184" w:type="pct"/>
            <w:vAlign w:val="center"/>
          </w:tcPr>
          <w:p w14:paraId="5992AC5A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48.20 ± (0.51), (1.52)</w:t>
            </w:r>
          </w:p>
        </w:tc>
        <w:tc>
          <w:tcPr>
            <w:tcW w:w="1111" w:type="pct"/>
            <w:vAlign w:val="center"/>
          </w:tcPr>
          <w:p w14:paraId="6AEAED95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</w:rPr>
              <w:t>50.05 ± (0.80), (2.57)</w:t>
            </w:r>
          </w:p>
        </w:tc>
        <w:tc>
          <w:tcPr>
            <w:tcW w:w="589" w:type="pct"/>
            <w:vAlign w:val="center"/>
          </w:tcPr>
          <w:p w14:paraId="51A954C1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i/>
                <w:sz w:val="22"/>
                <w:szCs w:val="22"/>
              </w:rPr>
              <w:t>0.06</w:t>
            </w:r>
          </w:p>
        </w:tc>
        <w:tc>
          <w:tcPr>
            <w:tcW w:w="579" w:type="pct"/>
            <w:vAlign w:val="center"/>
          </w:tcPr>
          <w:p w14:paraId="6825520B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t-test</w:t>
            </w:r>
          </w:p>
        </w:tc>
      </w:tr>
      <w:tr w:rsidR="004311CE" w:rsidRPr="004311CE" w14:paraId="354F5C06" w14:textId="77777777" w:rsidTr="00F23020">
        <w:trPr>
          <w:trHeight w:val="788"/>
          <w:jc w:val="center"/>
        </w:trPr>
        <w:tc>
          <w:tcPr>
            <w:tcW w:w="351" w:type="pct"/>
            <w:vMerge w:val="restart"/>
            <w:textDirection w:val="btLr"/>
            <w:vAlign w:val="center"/>
          </w:tcPr>
          <w:p w14:paraId="19756DA5" w14:textId="77777777" w:rsidR="004311CE" w:rsidRPr="004311CE" w:rsidRDefault="004311CE" w:rsidP="00745B34">
            <w:pPr>
              <w:ind w:left="113" w:right="113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b/>
                <w:sz w:val="22"/>
                <w:szCs w:val="22"/>
              </w:rPr>
              <w:t>Ribbon/PD-associated SVs (RA/PDA-SVs)</w:t>
            </w:r>
          </w:p>
        </w:tc>
        <w:tc>
          <w:tcPr>
            <w:tcW w:w="1185" w:type="pct"/>
            <w:vAlign w:val="center"/>
          </w:tcPr>
          <w:p w14:paraId="48FC2357" w14:textId="77777777" w:rsidR="004311CE" w:rsidRPr="004311CE" w:rsidRDefault="004311CE" w:rsidP="00745B3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SV number</w:t>
            </w:r>
          </w:p>
        </w:tc>
        <w:tc>
          <w:tcPr>
            <w:tcW w:w="1184" w:type="pct"/>
            <w:vAlign w:val="center"/>
          </w:tcPr>
          <w:p w14:paraId="0BE496A0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26.33 ± (2.30), (8.71)</w:t>
            </w:r>
          </w:p>
        </w:tc>
        <w:tc>
          <w:tcPr>
            <w:tcW w:w="1111" w:type="pct"/>
            <w:vAlign w:val="center"/>
          </w:tcPr>
          <w:p w14:paraId="5B733FAE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</w:rPr>
              <w:t>8.45 ± (1.20), (3.98)</w:t>
            </w:r>
          </w:p>
        </w:tc>
        <w:tc>
          <w:tcPr>
            <w:tcW w:w="589" w:type="pct"/>
            <w:vAlign w:val="center"/>
          </w:tcPr>
          <w:p w14:paraId="6F5EE1F5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b/>
                <w:i/>
                <w:sz w:val="22"/>
                <w:szCs w:val="22"/>
              </w:rPr>
              <w:t>3.005E-05</w:t>
            </w:r>
          </w:p>
        </w:tc>
        <w:tc>
          <w:tcPr>
            <w:tcW w:w="579" w:type="pct"/>
            <w:vAlign w:val="center"/>
          </w:tcPr>
          <w:p w14:paraId="260F557D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Mann-Whitney-Wilcoxon test</w:t>
            </w:r>
          </w:p>
        </w:tc>
      </w:tr>
      <w:tr w:rsidR="004311CE" w:rsidRPr="004311CE" w14:paraId="7F843591" w14:textId="77777777" w:rsidTr="00F23020">
        <w:trPr>
          <w:trHeight w:val="934"/>
          <w:jc w:val="center"/>
        </w:trPr>
        <w:tc>
          <w:tcPr>
            <w:tcW w:w="351" w:type="pct"/>
            <w:vMerge/>
            <w:vAlign w:val="center"/>
          </w:tcPr>
          <w:p w14:paraId="408A3430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5" w:type="pct"/>
            <w:vAlign w:val="center"/>
          </w:tcPr>
          <w:p w14:paraId="1100DF65" w14:textId="77777777" w:rsidR="004311CE" w:rsidRPr="004311CE" w:rsidRDefault="004311CE" w:rsidP="00745B3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Fraction of tethered SVs</w:t>
            </w:r>
          </w:p>
        </w:tc>
        <w:tc>
          <w:tcPr>
            <w:tcW w:w="1184" w:type="pct"/>
            <w:vAlign w:val="center"/>
          </w:tcPr>
          <w:p w14:paraId="6986E3E1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0.70 ± (0.06), (0.18)</w:t>
            </w:r>
          </w:p>
        </w:tc>
        <w:tc>
          <w:tcPr>
            <w:tcW w:w="1111" w:type="pct"/>
            <w:vAlign w:val="center"/>
          </w:tcPr>
          <w:p w14:paraId="76E125CC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</w:rPr>
              <w:t>0.80 ± (0.05), (0.18)</w:t>
            </w:r>
          </w:p>
        </w:tc>
        <w:tc>
          <w:tcPr>
            <w:tcW w:w="589" w:type="pct"/>
            <w:vAlign w:val="center"/>
          </w:tcPr>
          <w:p w14:paraId="3673F500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i/>
                <w:sz w:val="22"/>
                <w:szCs w:val="22"/>
              </w:rPr>
              <w:t>0.10</w:t>
            </w:r>
          </w:p>
        </w:tc>
        <w:tc>
          <w:tcPr>
            <w:tcW w:w="579" w:type="pct"/>
            <w:vAlign w:val="center"/>
          </w:tcPr>
          <w:p w14:paraId="198ADE70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t-test</w:t>
            </w:r>
          </w:p>
        </w:tc>
      </w:tr>
      <w:tr w:rsidR="004311CE" w:rsidRPr="004311CE" w14:paraId="1E9426D8" w14:textId="77777777" w:rsidTr="00F23020">
        <w:trPr>
          <w:trHeight w:val="1168"/>
          <w:jc w:val="center"/>
        </w:trPr>
        <w:tc>
          <w:tcPr>
            <w:tcW w:w="351" w:type="pct"/>
            <w:vMerge/>
            <w:vAlign w:val="center"/>
          </w:tcPr>
          <w:p w14:paraId="0E07F570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5" w:type="pct"/>
            <w:vAlign w:val="center"/>
          </w:tcPr>
          <w:p w14:paraId="625F839B" w14:textId="77777777" w:rsidR="004311CE" w:rsidRPr="004311CE" w:rsidRDefault="004311CE" w:rsidP="00745B3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Diameter of SVs</w:t>
            </w:r>
          </w:p>
        </w:tc>
        <w:tc>
          <w:tcPr>
            <w:tcW w:w="1184" w:type="pct"/>
            <w:vAlign w:val="center"/>
          </w:tcPr>
          <w:p w14:paraId="0548BAD0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50.07 ± (1.00), (2.93)</w:t>
            </w:r>
          </w:p>
        </w:tc>
        <w:tc>
          <w:tcPr>
            <w:tcW w:w="1111" w:type="pct"/>
            <w:vAlign w:val="center"/>
          </w:tcPr>
          <w:p w14:paraId="52336772" w14:textId="77777777" w:rsidR="004311CE" w:rsidRPr="00805BB5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05BB5">
              <w:rPr>
                <w:rFonts w:asciiTheme="minorHAnsi" w:hAnsiTheme="minorHAnsi" w:cs="Arial"/>
                <w:sz w:val="22"/>
                <w:szCs w:val="22"/>
              </w:rPr>
              <w:t>49.82 ± (0.80), (2.67)</w:t>
            </w:r>
          </w:p>
        </w:tc>
        <w:tc>
          <w:tcPr>
            <w:tcW w:w="589" w:type="pct"/>
            <w:vAlign w:val="center"/>
          </w:tcPr>
          <w:p w14:paraId="19146EDC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i/>
                <w:sz w:val="22"/>
                <w:szCs w:val="22"/>
              </w:rPr>
              <w:t>0.68</w:t>
            </w:r>
          </w:p>
        </w:tc>
        <w:tc>
          <w:tcPr>
            <w:tcW w:w="579" w:type="pct"/>
            <w:vAlign w:val="center"/>
          </w:tcPr>
          <w:p w14:paraId="3FEDBDB9" w14:textId="77777777" w:rsidR="004311CE" w:rsidRPr="004311CE" w:rsidRDefault="004311CE" w:rsidP="00745B3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311CE">
              <w:rPr>
                <w:rFonts w:asciiTheme="minorHAnsi" w:hAnsiTheme="minorHAnsi" w:cs="Arial"/>
                <w:sz w:val="22"/>
                <w:szCs w:val="22"/>
              </w:rPr>
              <w:t>Mann-Whitney-Wilcoxon test</w:t>
            </w:r>
          </w:p>
        </w:tc>
      </w:tr>
    </w:tbl>
    <w:p w14:paraId="34A2EEA2" w14:textId="77777777" w:rsidR="004311CE" w:rsidRPr="004311CE" w:rsidRDefault="004311CE" w:rsidP="004311CE">
      <w:pPr>
        <w:rPr>
          <w:rFonts w:asciiTheme="minorHAnsi" w:hAnsiTheme="minorHAnsi" w:cs="Arial"/>
          <w:sz w:val="22"/>
          <w:szCs w:val="22"/>
        </w:rPr>
      </w:pPr>
    </w:p>
    <w:p w14:paraId="69A97F3C" w14:textId="77777777" w:rsidR="004311CE" w:rsidRPr="004311CE" w:rsidRDefault="004311CE" w:rsidP="004311CE">
      <w:pPr>
        <w:spacing w:line="480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4311CE">
        <w:rPr>
          <w:rFonts w:asciiTheme="minorHAnsi" w:hAnsiTheme="minorHAnsi" w:cs="Arial"/>
          <w:b/>
          <w:sz w:val="22"/>
          <w:szCs w:val="22"/>
        </w:rPr>
        <w:t xml:space="preserve">Supplementary file 1: Modified tomogram analysis </w:t>
      </w:r>
    </w:p>
    <w:p w14:paraId="26831E74" w14:textId="189FB3CA" w:rsidR="004311CE" w:rsidRPr="004311CE" w:rsidRDefault="004311CE" w:rsidP="004311CE">
      <w:pPr>
        <w:spacing w:line="480" w:lineRule="auto"/>
        <w:jc w:val="both"/>
        <w:rPr>
          <w:rFonts w:asciiTheme="minorHAnsi" w:hAnsiTheme="minorHAnsi" w:cs="Arial"/>
          <w:sz w:val="22"/>
          <w:szCs w:val="22"/>
        </w:rPr>
      </w:pPr>
      <w:r w:rsidRPr="004311CE">
        <w:rPr>
          <w:rFonts w:asciiTheme="minorHAnsi" w:hAnsiTheme="minorHAnsi" w:cs="Arial"/>
          <w:sz w:val="22"/>
          <w:szCs w:val="22"/>
        </w:rPr>
        <w:t>The table depicts the modified tomogram analysis performed acco</w:t>
      </w:r>
      <w:r w:rsidR="008775CF">
        <w:rPr>
          <w:rFonts w:asciiTheme="minorHAnsi" w:hAnsiTheme="minorHAnsi" w:cs="Arial"/>
          <w:sz w:val="22"/>
          <w:szCs w:val="22"/>
        </w:rPr>
        <w:t>rding to Jung et al. (2015a) displaying</w:t>
      </w:r>
      <w:r w:rsidRPr="004311CE">
        <w:rPr>
          <w:rFonts w:asciiTheme="minorHAnsi" w:hAnsiTheme="minorHAnsi" w:cs="Arial"/>
          <w:sz w:val="22"/>
          <w:szCs w:val="22"/>
        </w:rPr>
        <w:t xml:space="preserve"> </w:t>
      </w:r>
      <w:r w:rsidR="008775CF">
        <w:rPr>
          <w:rFonts w:asciiTheme="minorHAnsi" w:hAnsiTheme="minorHAnsi" w:cs="Arial"/>
          <w:sz w:val="22"/>
          <w:szCs w:val="22"/>
        </w:rPr>
        <w:t xml:space="preserve">the mean ± </w:t>
      </w:r>
      <w:r w:rsidR="0066031B">
        <w:rPr>
          <w:rFonts w:asciiTheme="minorHAnsi" w:hAnsiTheme="minorHAnsi" w:cs="Arial"/>
          <w:sz w:val="22"/>
          <w:szCs w:val="22"/>
        </w:rPr>
        <w:t>(</w:t>
      </w:r>
      <w:r w:rsidRPr="004311CE">
        <w:rPr>
          <w:rFonts w:asciiTheme="minorHAnsi" w:hAnsiTheme="minorHAnsi" w:cs="Arial"/>
          <w:sz w:val="22"/>
          <w:szCs w:val="22"/>
        </w:rPr>
        <w:t xml:space="preserve">S.E.M.), (S.D.), </w:t>
      </w:r>
      <w:r w:rsidRPr="004311CE">
        <w:rPr>
          <w:rFonts w:asciiTheme="minorHAnsi" w:hAnsiTheme="minorHAnsi" w:cs="Arial"/>
          <w:i/>
          <w:sz w:val="22"/>
          <w:szCs w:val="22"/>
        </w:rPr>
        <w:t>p</w:t>
      </w:r>
      <w:r w:rsidRPr="004311CE">
        <w:rPr>
          <w:rFonts w:asciiTheme="minorHAnsi" w:hAnsiTheme="minorHAnsi" w:cs="Arial"/>
          <w:sz w:val="22"/>
          <w:szCs w:val="22"/>
        </w:rPr>
        <w:t xml:space="preserve">-values, sample size and statistical tests used to compare </w:t>
      </w:r>
      <w:r w:rsidRPr="0056007E">
        <w:rPr>
          <w:rFonts w:asciiTheme="minorHAnsi" w:hAnsiTheme="minorHAnsi" w:cs="Arial"/>
          <w:noProof/>
          <w:sz w:val="22"/>
          <w:szCs w:val="22"/>
        </w:rPr>
        <w:t>RBE</w:t>
      </w:r>
      <w:r w:rsidRPr="0056007E">
        <w:rPr>
          <w:rFonts w:asciiTheme="minorHAnsi" w:hAnsiTheme="minorHAnsi" w:cs="Arial"/>
          <w:noProof/>
          <w:sz w:val="22"/>
          <w:szCs w:val="22"/>
          <w:vertAlign w:val="superscript"/>
        </w:rPr>
        <w:t>WT/WT</w:t>
      </w:r>
      <w:r w:rsidRPr="004311CE">
        <w:rPr>
          <w:rFonts w:asciiTheme="minorHAnsi" w:hAnsiTheme="minorHAnsi" w:cs="Arial"/>
          <w:b/>
          <w:i/>
          <w:noProof/>
          <w:sz w:val="22"/>
          <w:szCs w:val="22"/>
          <w:vertAlign w:val="superscript"/>
        </w:rPr>
        <w:t xml:space="preserve"> </w:t>
      </w:r>
      <w:r w:rsidRPr="004311CE">
        <w:rPr>
          <w:rFonts w:asciiTheme="minorHAnsi" w:hAnsiTheme="minorHAnsi" w:cs="Arial"/>
          <w:noProof/>
          <w:sz w:val="22"/>
          <w:szCs w:val="22"/>
        </w:rPr>
        <w:t>and</w:t>
      </w:r>
      <w:r w:rsidRPr="004311CE">
        <w:rPr>
          <w:rFonts w:asciiTheme="minorHAnsi" w:hAnsiTheme="minorHAnsi" w:cs="Arial"/>
          <w:sz w:val="22"/>
          <w:szCs w:val="22"/>
        </w:rPr>
        <w:t xml:space="preserve"> </w:t>
      </w:r>
      <w:r w:rsidRPr="0056007E">
        <w:rPr>
          <w:rFonts w:asciiTheme="minorHAnsi" w:hAnsiTheme="minorHAnsi" w:cs="Arial"/>
          <w:noProof/>
          <w:sz w:val="22"/>
          <w:szCs w:val="22"/>
        </w:rPr>
        <w:t>RBE</w:t>
      </w:r>
      <w:r w:rsidRPr="0056007E">
        <w:rPr>
          <w:rFonts w:asciiTheme="minorHAnsi" w:hAnsiTheme="minorHAnsi" w:cs="Arial"/>
          <w:noProof/>
          <w:sz w:val="22"/>
          <w:szCs w:val="22"/>
          <w:vertAlign w:val="superscript"/>
        </w:rPr>
        <w:t>KO/KO</w:t>
      </w:r>
      <w:r w:rsidRPr="004311CE">
        <w:rPr>
          <w:rFonts w:asciiTheme="minorHAnsi" w:hAnsiTheme="minorHAnsi" w:cs="Arial"/>
          <w:sz w:val="22"/>
          <w:szCs w:val="22"/>
        </w:rPr>
        <w:t xml:space="preserve">. Refer to Figure 3-figure supplement 1 for the graphs. </w:t>
      </w:r>
    </w:p>
    <w:p w14:paraId="0F341312" w14:textId="77777777" w:rsidR="004450EF" w:rsidRPr="004311CE" w:rsidRDefault="004450EF">
      <w:pPr>
        <w:rPr>
          <w:rFonts w:asciiTheme="minorHAnsi" w:hAnsiTheme="minorHAnsi" w:cs="Arial"/>
          <w:sz w:val="22"/>
          <w:szCs w:val="22"/>
        </w:rPr>
      </w:pPr>
    </w:p>
    <w:p w14:paraId="5BCC6597" w14:textId="77777777" w:rsidR="004311CE" w:rsidRPr="004311CE" w:rsidRDefault="004311CE">
      <w:pPr>
        <w:rPr>
          <w:rFonts w:asciiTheme="minorHAnsi" w:hAnsiTheme="minorHAnsi" w:cs="Arial"/>
          <w:sz w:val="22"/>
          <w:szCs w:val="22"/>
        </w:rPr>
      </w:pPr>
    </w:p>
    <w:p w14:paraId="4B6239B5" w14:textId="77777777" w:rsidR="004311CE" w:rsidRPr="004311CE" w:rsidRDefault="004311CE">
      <w:pPr>
        <w:rPr>
          <w:rFonts w:asciiTheme="minorHAnsi" w:hAnsiTheme="minorHAnsi" w:cs="Arial"/>
          <w:sz w:val="22"/>
          <w:szCs w:val="22"/>
        </w:rPr>
      </w:pPr>
    </w:p>
    <w:p w14:paraId="124CA528" w14:textId="77777777" w:rsidR="004311CE" w:rsidRPr="004311CE" w:rsidRDefault="004311CE">
      <w:pPr>
        <w:rPr>
          <w:rFonts w:asciiTheme="minorHAnsi" w:hAnsiTheme="minorHAnsi" w:cs="Arial"/>
          <w:sz w:val="22"/>
          <w:szCs w:val="22"/>
        </w:rPr>
      </w:pPr>
    </w:p>
    <w:p w14:paraId="21689F30" w14:textId="77777777" w:rsidR="004311CE" w:rsidRPr="004311CE" w:rsidRDefault="004311CE">
      <w:pPr>
        <w:rPr>
          <w:rFonts w:asciiTheme="minorHAnsi" w:hAnsiTheme="minorHAnsi" w:cs="Arial"/>
          <w:sz w:val="22"/>
          <w:szCs w:val="22"/>
        </w:rPr>
      </w:pPr>
    </w:p>
    <w:p w14:paraId="45AFBBFE" w14:textId="77777777" w:rsidR="004311CE" w:rsidRDefault="004311CE">
      <w:pPr>
        <w:rPr>
          <w:rFonts w:asciiTheme="minorHAnsi" w:hAnsiTheme="minorHAnsi" w:cs="Arial"/>
          <w:sz w:val="22"/>
          <w:szCs w:val="22"/>
        </w:rPr>
      </w:pPr>
    </w:p>
    <w:p w14:paraId="01CBEB06" w14:textId="77777777" w:rsidR="00F23020" w:rsidRPr="00805BB5" w:rsidRDefault="00F23020" w:rsidP="00F23020">
      <w:pPr>
        <w:rPr>
          <w:rFonts w:asciiTheme="minorHAnsi" w:hAnsiTheme="minorHAnsi" w:cs="Arial"/>
          <w:b/>
          <w:sz w:val="22"/>
          <w:szCs w:val="22"/>
        </w:rPr>
      </w:pPr>
      <w:r w:rsidRPr="00805BB5">
        <w:rPr>
          <w:rFonts w:asciiTheme="minorHAnsi" w:hAnsiTheme="minorHAnsi" w:cs="Arial"/>
          <w:b/>
          <w:sz w:val="22"/>
          <w:szCs w:val="22"/>
        </w:rPr>
        <w:lastRenderedPageBreak/>
        <w:t>Supplementary file 2</w:t>
      </w:r>
    </w:p>
    <w:p w14:paraId="0704004D" w14:textId="77777777" w:rsidR="00F23020" w:rsidRDefault="00F23020">
      <w:pPr>
        <w:rPr>
          <w:rFonts w:asciiTheme="minorHAnsi" w:hAnsiTheme="minorHAnsi" w:cs="Arial"/>
          <w:sz w:val="22"/>
          <w:szCs w:val="22"/>
        </w:rPr>
      </w:pPr>
    </w:p>
    <w:tbl>
      <w:tblPr>
        <w:tblW w:w="9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1127"/>
        <w:gridCol w:w="927"/>
        <w:gridCol w:w="958"/>
        <w:gridCol w:w="927"/>
        <w:gridCol w:w="900"/>
        <w:gridCol w:w="927"/>
        <w:gridCol w:w="960"/>
        <w:gridCol w:w="927"/>
        <w:gridCol w:w="900"/>
      </w:tblGrid>
      <w:tr w:rsidR="00F23020" w:rsidRPr="00F23020" w14:paraId="525A545D" w14:textId="77777777" w:rsidTr="00F23020">
        <w:trPr>
          <w:trHeight w:val="360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4984" w14:textId="77777777" w:rsidR="00F23020" w:rsidRPr="00805BB5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zh-TW"/>
              </w:rPr>
            </w:pPr>
            <w:r w:rsidRPr="00805BB5"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18A0" w14:textId="77777777" w:rsidR="00F23020" w:rsidRPr="00805BB5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zh-TW"/>
              </w:rPr>
            </w:pPr>
            <w:r w:rsidRPr="00805BB5"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667D9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R</w:t>
            </w: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bscript"/>
                <w:lang w:val="de-DE" w:eastAsia="zh-TW"/>
              </w:rPr>
              <w:t>s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AD2BC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R</w:t>
            </w: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bscript"/>
                <w:lang w:val="de-DE" w:eastAsia="zh-TW"/>
              </w:rPr>
              <w:t>m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36D82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I</w:t>
            </w: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bscript"/>
                <w:lang w:val="de-DE" w:eastAsia="zh-TW"/>
              </w:rPr>
              <w:t>leak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CEDC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C</w:t>
            </w: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bscript"/>
                <w:lang w:val="de-DE" w:eastAsia="zh-TW"/>
              </w:rPr>
              <w:t>slow</w:t>
            </w:r>
          </w:p>
        </w:tc>
      </w:tr>
      <w:tr w:rsidR="00F23020" w:rsidRPr="00F23020" w14:paraId="6D0915B2" w14:textId="77777777" w:rsidTr="00805BB5">
        <w:trPr>
          <w:trHeight w:val="345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35DA8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E91E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B58241B" w14:textId="77777777" w:rsidR="00F23020" w:rsidRPr="0056007E" w:rsidRDefault="00F23020" w:rsidP="00F23020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WT/WT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14:paraId="4F6DCB31" w14:textId="77777777" w:rsidR="00F23020" w:rsidRPr="0056007E" w:rsidRDefault="00F23020" w:rsidP="00F23020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KO/KO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218F729" w14:textId="77777777" w:rsidR="00F23020" w:rsidRPr="0056007E" w:rsidRDefault="00F23020" w:rsidP="00F23020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WT/WT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14:paraId="52CEA9FF" w14:textId="77777777" w:rsidR="00F23020" w:rsidRPr="0056007E" w:rsidRDefault="00F23020" w:rsidP="00F23020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KO/KO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D5C8E20" w14:textId="77777777" w:rsidR="00F23020" w:rsidRPr="0056007E" w:rsidRDefault="00F23020" w:rsidP="00F23020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WT/WT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14:paraId="42C55072" w14:textId="77777777" w:rsidR="00F23020" w:rsidRPr="0056007E" w:rsidRDefault="00F23020" w:rsidP="00F23020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KO/KO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6ABF1B1" w14:textId="77777777" w:rsidR="00F23020" w:rsidRPr="0056007E" w:rsidRDefault="00F23020" w:rsidP="00F23020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WT/WT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14:paraId="2D63E9B2" w14:textId="77777777" w:rsidR="00F23020" w:rsidRPr="0056007E" w:rsidRDefault="00F23020" w:rsidP="00F23020">
            <w:pPr>
              <w:jc w:val="center"/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</w:pP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lang w:val="de-DE" w:eastAsia="zh-TW"/>
              </w:rPr>
              <w:t>RBE</w:t>
            </w:r>
            <w:r w:rsidRPr="0056007E">
              <w:rPr>
                <w:rFonts w:asciiTheme="minorHAnsi" w:eastAsia="Times New Roman" w:hAnsiTheme="minorHAnsi"/>
                <w:iCs/>
                <w:color w:val="000000"/>
                <w:sz w:val="22"/>
                <w:szCs w:val="22"/>
                <w:vertAlign w:val="superscript"/>
                <w:lang w:val="de-DE" w:eastAsia="zh-TW"/>
              </w:rPr>
              <w:t>KO/KO</w:t>
            </w:r>
          </w:p>
        </w:tc>
      </w:tr>
      <w:tr w:rsidR="00F23020" w:rsidRPr="00F23020" w14:paraId="0548A70A" w14:textId="77777777" w:rsidTr="00F23020">
        <w:trPr>
          <w:trHeight w:val="600"/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4B2C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Figure 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940D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ruptured (A,B,C)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91FC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11.34 ± 0.89 MΩ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5388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10.47 ± 0.87 MΩ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39DD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437 ± 55 MΩ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824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535 ± 168 MΩ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4045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-21.19 ± 2.50 pA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818A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-19.43 ± 1.73 pA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6952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11.81 ± 0.28 pF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2EA0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12.53 ± 0.28 pF</w:t>
            </w:r>
          </w:p>
        </w:tc>
      </w:tr>
      <w:tr w:rsidR="00F23020" w:rsidRPr="00F23020" w14:paraId="2269520B" w14:textId="77777777" w:rsidTr="00F23020">
        <w:trPr>
          <w:trHeight w:val="6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CE839" w14:textId="77777777" w:rsidR="00F23020" w:rsidRPr="00F23020" w:rsidRDefault="00F23020" w:rsidP="00F23020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B862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(D)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7418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29.33 ± 2.04 MΩ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BD86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27.22 ± 1.85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7A5F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1598 ± 184 MΩ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6D4C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1532 ± 79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CDD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 -8 ± 1.04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3A52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-7.44 ± 0.74 pA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42D2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12.19 ± 0.53 pF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1C66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12.76 ± 0.27 pF</w:t>
            </w:r>
          </w:p>
        </w:tc>
      </w:tr>
      <w:tr w:rsidR="00F23020" w:rsidRPr="00F23020" w14:paraId="0A33C0DA" w14:textId="77777777" w:rsidTr="00F23020">
        <w:trPr>
          <w:trHeight w:val="600"/>
          <w:jc w:val="center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336F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Figure 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EF16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ruptured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D698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13.75 ± 0.92 MΩ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3026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13.96 ± 0.82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2515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400 ± 46 MΩ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5319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406 ± 79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AFF7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-28 ± 3.73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4DF5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-26 ± 2.66 pA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5E75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10.63 ± 0.29 pF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A005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10.88 ± 0.26 pF</w:t>
            </w:r>
          </w:p>
        </w:tc>
      </w:tr>
      <w:tr w:rsidR="00F23020" w:rsidRPr="00F23020" w14:paraId="0665050B" w14:textId="77777777" w:rsidTr="00F23020">
        <w:trPr>
          <w:trHeight w:val="600"/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2749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Figure 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0F49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(A-C)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2F6D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28 ± 2.23 MΩ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1C27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25.11 ± 1.66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B672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1373 ± 44 MΩ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08AF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1510 ± 76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F02D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-7.67 ± 0.69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B69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-8 ± 0.81 pA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2980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11.93 ± 0.49 pF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F641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12.76 ± 0.29 pF</w:t>
            </w:r>
          </w:p>
        </w:tc>
      </w:tr>
      <w:tr w:rsidR="00F23020" w:rsidRPr="00F23020" w14:paraId="498DDFB6" w14:textId="77777777" w:rsidTr="00F23020">
        <w:trPr>
          <w:trHeight w:val="6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F19FC" w14:textId="77777777" w:rsidR="00F23020" w:rsidRPr="00F23020" w:rsidRDefault="00F23020" w:rsidP="00F23020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D21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(D)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3B15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23.51 ± 0.91 MΩ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6B19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22.08 ± 0.94 MΩ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6915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879 ± 51 MΩ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440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 909 ± 40 MΩ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0AD1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-16.54 ± 1.08 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EB10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-16.67 ± 1.56 pA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974E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9.04 ± 0.17 pF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8B0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9.94 ± 0.20 pF</w:t>
            </w:r>
          </w:p>
        </w:tc>
      </w:tr>
      <w:tr w:rsidR="00F23020" w:rsidRPr="00F23020" w14:paraId="2E56F296" w14:textId="77777777" w:rsidTr="00F23020">
        <w:trPr>
          <w:trHeight w:val="6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C18FD" w14:textId="77777777" w:rsidR="00F23020" w:rsidRPr="00F23020" w:rsidRDefault="00F23020" w:rsidP="00F23020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93E0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(E-F)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DCC8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19.39 ± 1.58 MΩ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A76B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18.67 ± 1.17 MΩ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87A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1387 ± 138 MΩ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7B4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1226 ± 76 MΩ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ADA1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-28.02 ± 2.41 pA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CFBB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-28.11 ± 2.12 pA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1564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9.13 ± 0.18 pF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313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9.57 ± 0.45 pF</w:t>
            </w:r>
          </w:p>
        </w:tc>
      </w:tr>
      <w:tr w:rsidR="00F23020" w:rsidRPr="00F23020" w14:paraId="3F04D140" w14:textId="77777777" w:rsidTr="00F23020">
        <w:trPr>
          <w:trHeight w:val="600"/>
          <w:jc w:val="center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5206F" w14:textId="77777777" w:rsidR="00F23020" w:rsidRPr="00F23020" w:rsidRDefault="00F23020" w:rsidP="00F23020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2827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de-DE" w:eastAsia="zh-TW"/>
              </w:rPr>
              <w:t>perforated (G-H)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343D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18.16 ± 1.30 MΩ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DA5B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18.61 ± 1.35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B8DE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1260 ± 121 MΩ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CE06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1031 ± 62 MΩ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B0EB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 xml:space="preserve"> -23.80 ± 2.46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010F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-21.54 ± 2.70 pA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868D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9.18 ± 0.17 pF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8A7F" w14:textId="77777777" w:rsidR="00F23020" w:rsidRPr="00F23020" w:rsidRDefault="00F23020" w:rsidP="00F23020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</w:pPr>
            <w:r w:rsidRPr="00F23020">
              <w:rPr>
                <w:rFonts w:asciiTheme="minorHAnsi" w:eastAsia="Times New Roman" w:hAnsiTheme="minorHAnsi"/>
                <w:color w:val="000000"/>
                <w:sz w:val="22"/>
                <w:szCs w:val="22"/>
                <w:lang w:val="de-DE" w:eastAsia="zh-TW"/>
              </w:rPr>
              <w:t>9.32 ± 0.16 pF</w:t>
            </w:r>
          </w:p>
        </w:tc>
      </w:tr>
    </w:tbl>
    <w:p w14:paraId="36DC570C" w14:textId="77777777" w:rsidR="009600EE" w:rsidRDefault="009600EE">
      <w:pPr>
        <w:rPr>
          <w:rFonts w:asciiTheme="minorHAnsi" w:hAnsiTheme="minorHAnsi" w:cs="Arial"/>
          <w:sz w:val="22"/>
          <w:szCs w:val="22"/>
        </w:rPr>
      </w:pPr>
    </w:p>
    <w:p w14:paraId="3E04362F" w14:textId="77777777" w:rsidR="00E378D6" w:rsidRPr="00F23020" w:rsidRDefault="00E378D6" w:rsidP="00E378D6">
      <w:pPr>
        <w:spacing w:after="240"/>
        <w:rPr>
          <w:rFonts w:asciiTheme="minorHAnsi" w:hAnsiTheme="minorHAnsi" w:cs="Arial"/>
          <w:b/>
          <w:sz w:val="22"/>
          <w:szCs w:val="22"/>
        </w:rPr>
      </w:pPr>
      <w:r w:rsidRPr="00F23020">
        <w:rPr>
          <w:rFonts w:asciiTheme="minorHAnsi" w:hAnsiTheme="minorHAnsi" w:cs="Arial"/>
          <w:b/>
          <w:sz w:val="22"/>
          <w:szCs w:val="22"/>
        </w:rPr>
        <w:t>Supplementary file 2: Passive electrical prop</w:t>
      </w:r>
      <w:r>
        <w:rPr>
          <w:rFonts w:asciiTheme="minorHAnsi" w:hAnsiTheme="minorHAnsi" w:cs="Arial"/>
          <w:b/>
          <w:sz w:val="22"/>
          <w:szCs w:val="22"/>
        </w:rPr>
        <w:t>erties of patch-clamp recording</w:t>
      </w:r>
      <w:r w:rsidRPr="00F23020">
        <w:rPr>
          <w:rFonts w:asciiTheme="minorHAnsi" w:hAnsiTheme="minorHAnsi" w:cs="Arial"/>
          <w:b/>
          <w:sz w:val="22"/>
          <w:szCs w:val="22"/>
        </w:rPr>
        <w:t xml:space="preserve"> experiments</w:t>
      </w:r>
    </w:p>
    <w:p w14:paraId="429F8636" w14:textId="65CE6880" w:rsidR="00E378D6" w:rsidRPr="004311CE" w:rsidRDefault="00E378D6" w:rsidP="00E378D6">
      <w:pPr>
        <w:spacing w:line="480" w:lineRule="auto"/>
        <w:jc w:val="both"/>
        <w:rPr>
          <w:rFonts w:asciiTheme="minorHAnsi" w:hAnsiTheme="minorHAnsi" w:cs="Arial"/>
          <w:sz w:val="22"/>
          <w:szCs w:val="22"/>
        </w:rPr>
      </w:pPr>
      <w:r w:rsidRPr="004311CE">
        <w:rPr>
          <w:rFonts w:asciiTheme="minorHAnsi" w:hAnsiTheme="minorHAnsi" w:cs="Arial"/>
          <w:sz w:val="22"/>
          <w:szCs w:val="22"/>
        </w:rPr>
        <w:t>The table shows</w:t>
      </w:r>
      <w:r>
        <w:rPr>
          <w:rFonts w:asciiTheme="minorHAnsi" w:hAnsiTheme="minorHAnsi" w:cs="Arial"/>
          <w:sz w:val="22"/>
          <w:szCs w:val="22"/>
        </w:rPr>
        <w:t xml:space="preserve"> the mean</w:t>
      </w:r>
      <w:r w:rsidRPr="004311CE">
        <w:rPr>
          <w:rFonts w:asciiTheme="minorHAnsi" w:hAnsiTheme="minorHAnsi" w:cs="Arial"/>
          <w:sz w:val="22"/>
          <w:szCs w:val="22"/>
        </w:rPr>
        <w:t xml:space="preserve"> ± (S.E.M.)</w:t>
      </w:r>
      <w:r>
        <w:rPr>
          <w:rFonts w:asciiTheme="minorHAnsi" w:hAnsiTheme="minorHAnsi" w:cs="Arial"/>
          <w:sz w:val="22"/>
          <w:szCs w:val="22"/>
        </w:rPr>
        <w:t xml:space="preserve"> of </w:t>
      </w:r>
      <w:r w:rsidRPr="004311CE">
        <w:rPr>
          <w:rFonts w:asciiTheme="minorHAnsi" w:hAnsiTheme="minorHAnsi" w:cs="Arial"/>
          <w:sz w:val="22"/>
          <w:szCs w:val="22"/>
        </w:rPr>
        <w:t xml:space="preserve">the </w:t>
      </w:r>
      <w:r>
        <w:rPr>
          <w:rFonts w:asciiTheme="minorHAnsi" w:hAnsiTheme="minorHAnsi" w:cs="Arial"/>
          <w:sz w:val="22"/>
          <w:szCs w:val="22"/>
        </w:rPr>
        <w:t>p</w:t>
      </w:r>
      <w:r w:rsidRPr="00E378D6">
        <w:rPr>
          <w:rFonts w:asciiTheme="minorHAnsi" w:hAnsiTheme="minorHAnsi" w:cs="Arial"/>
          <w:sz w:val="22"/>
          <w:szCs w:val="22"/>
        </w:rPr>
        <w:t>assive electrical properties</w:t>
      </w:r>
      <w:r>
        <w:rPr>
          <w:rFonts w:asciiTheme="minorHAnsi" w:hAnsiTheme="minorHAnsi" w:cs="Arial"/>
          <w:sz w:val="22"/>
          <w:szCs w:val="22"/>
        </w:rPr>
        <w:t xml:space="preserve"> across all </w:t>
      </w:r>
      <w:r w:rsidR="00D411F7">
        <w:rPr>
          <w:rFonts w:asciiTheme="minorHAnsi" w:hAnsiTheme="minorHAnsi" w:cs="Arial"/>
          <w:sz w:val="22"/>
          <w:szCs w:val="22"/>
        </w:rPr>
        <w:t xml:space="preserve">ruptured and perforated </w:t>
      </w:r>
      <w:r>
        <w:rPr>
          <w:rFonts w:asciiTheme="minorHAnsi" w:hAnsiTheme="minorHAnsi" w:cs="Arial"/>
          <w:sz w:val="22"/>
          <w:szCs w:val="22"/>
        </w:rPr>
        <w:t>patch-clamp recording experiments in</w:t>
      </w:r>
      <w:r w:rsidRPr="004311CE">
        <w:rPr>
          <w:rFonts w:asciiTheme="minorHAnsi" w:hAnsiTheme="minorHAnsi" w:cs="Arial"/>
          <w:sz w:val="22"/>
          <w:szCs w:val="22"/>
        </w:rPr>
        <w:t xml:space="preserve"> </w:t>
      </w:r>
      <w:r w:rsidRPr="0056007E">
        <w:rPr>
          <w:rFonts w:asciiTheme="minorHAnsi" w:hAnsiTheme="minorHAnsi" w:cs="Arial"/>
          <w:noProof/>
          <w:sz w:val="22"/>
          <w:szCs w:val="22"/>
        </w:rPr>
        <w:t>RBE</w:t>
      </w:r>
      <w:r w:rsidRPr="0056007E">
        <w:rPr>
          <w:rFonts w:asciiTheme="minorHAnsi" w:hAnsiTheme="minorHAnsi" w:cs="Arial"/>
          <w:noProof/>
          <w:sz w:val="22"/>
          <w:szCs w:val="22"/>
          <w:vertAlign w:val="superscript"/>
        </w:rPr>
        <w:t>WT/WT</w:t>
      </w:r>
      <w:r w:rsidRPr="004311CE">
        <w:rPr>
          <w:rFonts w:asciiTheme="minorHAnsi" w:hAnsiTheme="minorHAnsi" w:cs="Arial"/>
          <w:b/>
          <w:i/>
          <w:noProof/>
          <w:sz w:val="22"/>
          <w:szCs w:val="22"/>
          <w:vertAlign w:val="superscript"/>
        </w:rPr>
        <w:t xml:space="preserve"> </w:t>
      </w:r>
      <w:r w:rsidRPr="004311CE">
        <w:rPr>
          <w:rFonts w:asciiTheme="minorHAnsi" w:hAnsiTheme="minorHAnsi" w:cs="Arial"/>
          <w:noProof/>
          <w:sz w:val="22"/>
          <w:szCs w:val="22"/>
        </w:rPr>
        <w:t>and</w:t>
      </w:r>
      <w:r w:rsidRPr="004311CE">
        <w:rPr>
          <w:rFonts w:asciiTheme="minorHAnsi" w:hAnsiTheme="minorHAnsi" w:cs="Arial"/>
          <w:sz w:val="22"/>
          <w:szCs w:val="22"/>
        </w:rPr>
        <w:t xml:space="preserve"> </w:t>
      </w:r>
      <w:r w:rsidRPr="0056007E">
        <w:rPr>
          <w:rFonts w:asciiTheme="minorHAnsi" w:hAnsiTheme="minorHAnsi" w:cs="Arial"/>
          <w:noProof/>
          <w:sz w:val="22"/>
          <w:szCs w:val="22"/>
        </w:rPr>
        <w:t>RBE</w:t>
      </w:r>
      <w:r w:rsidRPr="0056007E">
        <w:rPr>
          <w:rFonts w:asciiTheme="minorHAnsi" w:hAnsiTheme="minorHAnsi" w:cs="Arial"/>
          <w:noProof/>
          <w:sz w:val="22"/>
          <w:szCs w:val="22"/>
          <w:vertAlign w:val="superscript"/>
        </w:rPr>
        <w:t>KO/KO</w:t>
      </w:r>
      <w:r w:rsidRPr="004311CE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conditions.</w:t>
      </w:r>
    </w:p>
    <w:p w14:paraId="7CEC96FC" w14:textId="77777777" w:rsidR="00F23020" w:rsidRPr="004311CE" w:rsidRDefault="00F23020">
      <w:pPr>
        <w:rPr>
          <w:rFonts w:asciiTheme="minorHAnsi" w:hAnsiTheme="minorHAnsi" w:cs="Arial"/>
          <w:sz w:val="22"/>
          <w:szCs w:val="22"/>
        </w:rPr>
      </w:pPr>
    </w:p>
    <w:sectPr w:rsidR="00F23020" w:rsidRPr="004311CE" w:rsidSect="006E1321">
      <w:footerReference w:type="even" r:id="rId7"/>
      <w:footerReference w:type="default" r:id="rId8"/>
      <w:pgSz w:w="12240" w:h="15840" w:code="1"/>
      <w:pgMar w:top="1440" w:right="1440" w:bottom="1440" w:left="1440" w:header="706" w:footer="706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8B489" w14:textId="77777777" w:rsidR="008F0772" w:rsidRDefault="008F0772">
      <w:r>
        <w:separator/>
      </w:r>
    </w:p>
  </w:endnote>
  <w:endnote w:type="continuationSeparator" w:id="0">
    <w:p w14:paraId="0ACB4F3F" w14:textId="77777777" w:rsidR="008F0772" w:rsidRDefault="008F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3617" w14:textId="77777777" w:rsidR="00DA6BFB" w:rsidRDefault="00E378D6" w:rsidP="00A91F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2FC542" w14:textId="77777777" w:rsidR="00DA6BFB" w:rsidRDefault="006441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E6C09" w14:textId="77777777" w:rsidR="00DA6BFB" w:rsidRDefault="00E378D6" w:rsidP="00A91F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41B1">
      <w:rPr>
        <w:rStyle w:val="PageNumber"/>
        <w:noProof/>
      </w:rPr>
      <w:t>1</w:t>
    </w:r>
    <w:r>
      <w:rPr>
        <w:rStyle w:val="PageNumber"/>
      </w:rPr>
      <w:fldChar w:fldCharType="end"/>
    </w:r>
  </w:p>
  <w:p w14:paraId="78536A9C" w14:textId="77777777" w:rsidR="00DA6BFB" w:rsidRDefault="006441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0CC8D" w14:textId="77777777" w:rsidR="008F0772" w:rsidRDefault="008F0772">
      <w:r>
        <w:separator/>
      </w:r>
    </w:p>
  </w:footnote>
  <w:footnote w:type="continuationSeparator" w:id="0">
    <w:p w14:paraId="6BECCD83" w14:textId="77777777" w:rsidR="008F0772" w:rsidRDefault="008F0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CE"/>
    <w:rsid w:val="003275B0"/>
    <w:rsid w:val="004311CE"/>
    <w:rsid w:val="004450EF"/>
    <w:rsid w:val="0056007E"/>
    <w:rsid w:val="006441B1"/>
    <w:rsid w:val="0066031B"/>
    <w:rsid w:val="00776E76"/>
    <w:rsid w:val="00805BB5"/>
    <w:rsid w:val="008775CF"/>
    <w:rsid w:val="008F0772"/>
    <w:rsid w:val="009600EE"/>
    <w:rsid w:val="00D411F7"/>
    <w:rsid w:val="00E378D6"/>
    <w:rsid w:val="00F23020"/>
    <w:rsid w:val="00F5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A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CE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311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1CE"/>
    <w:rPr>
      <w:rFonts w:ascii="Times New Roman" w:eastAsia="PMingLiU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4311CE"/>
  </w:style>
  <w:style w:type="table" w:styleId="TableGrid">
    <w:name w:val="Table Grid"/>
    <w:basedOn w:val="TableNormal"/>
    <w:uiPriority w:val="59"/>
    <w:rsid w:val="004311CE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311CE"/>
  </w:style>
  <w:style w:type="paragraph" w:styleId="BalloonText">
    <w:name w:val="Balloon Text"/>
    <w:basedOn w:val="Normal"/>
    <w:link w:val="BalloonTextChar"/>
    <w:uiPriority w:val="99"/>
    <w:semiHidden/>
    <w:unhideWhenUsed/>
    <w:rsid w:val="00960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0EE"/>
    <w:rPr>
      <w:rFonts w:ascii="Tahoma" w:eastAsia="PMingLiU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CE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311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1CE"/>
    <w:rPr>
      <w:rFonts w:ascii="Times New Roman" w:eastAsia="PMingLiU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4311CE"/>
  </w:style>
  <w:style w:type="table" w:styleId="TableGrid">
    <w:name w:val="Table Grid"/>
    <w:basedOn w:val="TableNormal"/>
    <w:uiPriority w:val="59"/>
    <w:rsid w:val="004311CE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311CE"/>
  </w:style>
  <w:style w:type="paragraph" w:styleId="BalloonText">
    <w:name w:val="Balloon Text"/>
    <w:basedOn w:val="Normal"/>
    <w:link w:val="BalloonTextChar"/>
    <w:uiPriority w:val="99"/>
    <w:semiHidden/>
    <w:unhideWhenUsed/>
    <w:rsid w:val="00960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0EE"/>
    <w:rPr>
      <w:rFonts w:ascii="Tahoma" w:eastAsia="PMingLiU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Jakob Neef</cp:lastModifiedBy>
  <cp:revision>4</cp:revision>
  <dcterms:created xsi:type="dcterms:W3CDTF">2017-12-03T13:04:00Z</dcterms:created>
  <dcterms:modified xsi:type="dcterms:W3CDTF">2017-12-07T15:55:00Z</dcterms:modified>
</cp:coreProperties>
</file>