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735" w:rightChars="350"/>
        <w:jc w:val="left"/>
        <w:rPr>
          <w:rFonts w:hint="default" w:ascii="Arial" w:hAnsi="Arial" w:cs="Arial"/>
          <w:b/>
          <w:color w:val="auto"/>
          <w:sz w:val="24"/>
          <w:szCs w:val="24"/>
        </w:rPr>
      </w:pPr>
      <w:r>
        <w:rPr>
          <w:rFonts w:hint="default" w:ascii="Arial" w:hAnsi="Arial" w:cs="Arial"/>
          <w:b/>
          <w:color w:val="auto"/>
          <w:sz w:val="24"/>
          <w:szCs w:val="24"/>
        </w:rPr>
        <w:t xml:space="preserve">Supplementary Table </w:t>
      </w:r>
      <w:r>
        <w:rPr>
          <w:rFonts w:hint="default" w:ascii="Arial" w:hAnsi="Arial" w:cs="Arial"/>
          <w:b/>
          <w:color w:val="auto"/>
          <w:sz w:val="24"/>
          <w:szCs w:val="24"/>
          <w:lang w:val="en-US"/>
        </w:rPr>
        <w:t>1</w:t>
      </w:r>
    </w:p>
    <w:p>
      <w:pPr>
        <w:ind w:right="735" w:rightChars="350" w:firstLine="630" w:firstLineChars="300"/>
        <w:jc w:val="left"/>
        <w:rPr>
          <w:rFonts w:hint="default" w:ascii="Arial" w:hAnsi="Arial" w:cs="Arial"/>
          <w:color w:val="auto"/>
          <w:sz w:val="24"/>
          <w:szCs w:val="24"/>
        </w:rPr>
      </w:pPr>
    </w:p>
    <w:p>
      <w:pPr>
        <w:ind w:right="735" w:rightChars="350"/>
        <w:jc w:val="both"/>
        <w:rPr>
          <w:rFonts w:hint="default" w:ascii="Arial" w:hAnsi="Arial" w:cs="Arial"/>
          <w:color w:val="auto"/>
          <w:sz w:val="24"/>
          <w:szCs w:val="24"/>
        </w:rPr>
      </w:pPr>
      <w:r>
        <w:rPr>
          <w:rFonts w:hint="default" w:ascii="Arial" w:hAnsi="Arial" w:cs="Arial"/>
          <w:color w:val="auto"/>
          <w:sz w:val="24"/>
          <w:szCs w:val="24"/>
          <w:lang w:val="en-US"/>
        </w:rPr>
        <w:t>Univariate analysis and multivariate analysis be</w:t>
      </w:r>
      <w:r>
        <w:rPr>
          <w:rFonts w:hint="default" w:ascii="Arial" w:hAnsi="Arial" w:cs="Arial"/>
          <w:color w:val="auto"/>
          <w:sz w:val="24"/>
          <w:szCs w:val="24"/>
        </w:rPr>
        <w:t xml:space="preserve">tween </w:t>
      </w:r>
      <w:r>
        <w:rPr>
          <w:rFonts w:hint="default" w:ascii="Arial" w:hAnsi="Arial" w:cs="Arial"/>
          <w:color w:val="auto"/>
          <w:sz w:val="24"/>
          <w:szCs w:val="24"/>
          <w:lang w:val="en-US"/>
        </w:rPr>
        <w:t>RioK1 e</w:t>
      </w:r>
      <w:r>
        <w:rPr>
          <w:rFonts w:hint="default" w:ascii="Arial" w:hAnsi="Arial" w:cs="Arial"/>
          <w:color w:val="auto"/>
          <w:sz w:val="24"/>
          <w:szCs w:val="24"/>
        </w:rPr>
        <w:t>xpress</w:t>
      </w:r>
      <w:r>
        <w:rPr>
          <w:rFonts w:hint="default" w:ascii="Arial" w:hAnsi="Arial" w:cs="Arial"/>
          <w:color w:val="auto"/>
          <w:sz w:val="24"/>
          <w:szCs w:val="24"/>
          <w:lang w:val="en-US"/>
        </w:rPr>
        <w:t>s</w:t>
      </w:r>
      <w:r>
        <w:rPr>
          <w:rFonts w:hint="default" w:ascii="Arial" w:hAnsi="Arial" w:cs="Arial"/>
          <w:color w:val="auto"/>
          <w:sz w:val="24"/>
          <w:szCs w:val="24"/>
        </w:rPr>
        <w:t xml:space="preserve">ion and Clinicopathologic Features of </w:t>
      </w:r>
      <w:r>
        <w:rPr>
          <w:rFonts w:hint="default" w:ascii="Arial" w:hAnsi="Arial" w:cs="Arial"/>
          <w:color w:val="auto"/>
          <w:sz w:val="24"/>
          <w:szCs w:val="24"/>
          <w:lang w:val="en-US"/>
        </w:rPr>
        <w:t>CRC</w:t>
      </w:r>
      <w:r>
        <w:rPr>
          <w:rFonts w:hint="default" w:ascii="Arial" w:hAnsi="Arial" w:cs="Arial"/>
          <w:color w:val="auto"/>
          <w:sz w:val="24"/>
          <w:szCs w:val="24"/>
        </w:rPr>
        <w:t xml:space="preserve"> Patients (n=</w:t>
      </w:r>
      <w:r>
        <w:rPr>
          <w:rFonts w:hint="default" w:ascii="Arial" w:hAnsi="Arial" w:cs="Arial"/>
          <w:color w:val="auto"/>
          <w:sz w:val="24"/>
          <w:szCs w:val="24"/>
          <w:lang w:val="en-US"/>
        </w:rPr>
        <w:t>104</w:t>
      </w:r>
      <w:r>
        <w:rPr>
          <w:rFonts w:hint="default" w:ascii="Arial" w:hAnsi="Arial" w:cs="Arial"/>
          <w:color w:val="auto"/>
          <w:sz w:val="24"/>
          <w:szCs w:val="24"/>
        </w:rPr>
        <w:t>)</w:t>
      </w:r>
    </w:p>
    <w:p>
      <w:pPr>
        <w:ind w:right="735" w:rightChars="350"/>
        <w:jc w:val="both"/>
        <w:rPr>
          <w:rFonts w:hint="default" w:ascii="Arial" w:hAnsi="Arial" w:cs="Arial"/>
          <w:color w:val="auto"/>
          <w:sz w:val="24"/>
          <w:szCs w:val="24"/>
        </w:rPr>
      </w:pPr>
    </w:p>
    <w:p>
      <w:pPr>
        <w:ind w:right="735" w:rightChars="350"/>
        <w:jc w:val="both"/>
        <w:rPr>
          <w:rFonts w:hint="default" w:ascii="Arial" w:hAnsi="Arial" w:cs="Arial"/>
          <w:color w:val="auto"/>
          <w:sz w:val="24"/>
          <w:szCs w:val="24"/>
        </w:rPr>
      </w:pPr>
      <w:bookmarkStart w:id="0" w:name="_GoBack"/>
      <w:bookmarkEnd w:id="0"/>
    </w:p>
    <w:p>
      <w:pPr/>
    </w:p>
    <w:tbl>
      <w:tblPr>
        <w:tblStyle w:val="6"/>
        <w:tblpPr w:leftFromText="180" w:rightFromText="180" w:vertAnchor="page" w:horzAnchor="page" w:tblpX="1952" w:tblpY="3073"/>
        <w:tblOverlap w:val="never"/>
        <w:tblW w:w="83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2060"/>
        <w:gridCol w:w="1842"/>
        <w:gridCol w:w="13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</w:rPr>
            </w:pPr>
            <w:r>
              <w:rPr>
                <w:rFonts w:hint="default" w:ascii="Arial" w:hAnsi="Arial" w:cs="Arial"/>
                <w:b/>
              </w:rPr>
              <w:t>Variables</w:t>
            </w:r>
          </w:p>
        </w:tc>
        <w:tc>
          <w:tcPr>
            <w:tcW w:w="206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hint="default" w:ascii="Arial" w:hAnsi="Arial" w:cs="Arial"/>
                <w:b/>
              </w:rPr>
            </w:pPr>
            <w:r>
              <w:rPr>
                <w:rFonts w:hint="default" w:ascii="Arial" w:hAnsi="Arial" w:cs="Arial"/>
                <w:b/>
              </w:rPr>
              <w:t>Univariate analysis</w:t>
            </w:r>
          </w:p>
        </w:tc>
        <w:tc>
          <w:tcPr>
            <w:tcW w:w="3203" w:type="dxa"/>
            <w:gridSpan w:val="2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hint="default" w:ascii="Arial" w:hAnsi="Arial" w:cs="Arial"/>
                <w:b/>
              </w:rPr>
            </w:pPr>
            <w:r>
              <w:rPr>
                <w:rFonts w:hint="default" w:ascii="Arial" w:hAnsi="Arial" w:cs="Arial"/>
                <w:b/>
              </w:rPr>
              <w:t>Multivariate analysis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</w:rPr>
            </w:pPr>
          </w:p>
        </w:tc>
        <w:tc>
          <w:tcPr>
            <w:tcW w:w="206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hint="default" w:ascii="Arial" w:hAnsi="Arial" w:cs="Arial"/>
                <w:b/>
                <w:i/>
              </w:rPr>
            </w:pPr>
            <w:r>
              <w:rPr>
                <w:rFonts w:hint="default" w:ascii="Arial" w:hAnsi="Arial" w:cs="Arial"/>
                <w:b/>
                <w:i/>
              </w:rPr>
              <w:t>P</w:t>
            </w:r>
          </w:p>
        </w:tc>
        <w:tc>
          <w:tcPr>
            <w:tcW w:w="184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hint="default" w:ascii="Arial" w:hAnsi="Arial" w:cs="Arial"/>
                <w:b/>
              </w:rPr>
            </w:pPr>
            <w:r>
              <w:rPr>
                <w:rFonts w:hint="default" w:ascii="Arial" w:hAnsi="Arial" w:cs="Arial"/>
                <w:b/>
              </w:rPr>
              <w:t>HR (95% CI)</w:t>
            </w:r>
          </w:p>
        </w:tc>
        <w:tc>
          <w:tcPr>
            <w:tcW w:w="136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hint="default" w:ascii="Arial" w:hAnsi="Arial" w:cs="Arial"/>
                <w:b/>
                <w:i/>
              </w:rPr>
            </w:pPr>
            <w:r>
              <w:rPr>
                <w:rFonts w:hint="default" w:ascii="Arial" w:hAnsi="Arial" w:cs="Arial"/>
                <w:b/>
                <w:i/>
              </w:rPr>
              <w:t>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  <w:tcBorders>
              <w:top w:val="single" w:color="auto" w:sz="4" w:space="0"/>
            </w:tcBorders>
          </w:tcPr>
          <w:p>
            <w:pPr>
              <w:rPr>
                <w:rFonts w:hint="default" w:ascii="Arial" w:hAnsi="Arial" w:cs="Arial"/>
                <w:b/>
              </w:rPr>
            </w:pPr>
            <w:r>
              <w:rPr>
                <w:rFonts w:hint="default" w:ascii="Arial" w:hAnsi="Arial" w:cs="Arial"/>
                <w:b/>
              </w:rPr>
              <w:t>Age</w:t>
            </w:r>
          </w:p>
        </w:tc>
        <w:tc>
          <w:tcPr>
            <w:tcW w:w="2060" w:type="dxa"/>
            <w:tcBorders>
              <w:top w:val="single" w:color="auto" w:sz="4" w:space="0"/>
            </w:tcBorders>
          </w:tcPr>
          <w:p>
            <w:pPr>
              <w:rPr>
                <w:rFonts w:hint="default" w:ascii="Arial" w:hAnsi="Arial" w:cs="Arial"/>
              </w:rPr>
            </w:pPr>
          </w:p>
        </w:tc>
        <w:tc>
          <w:tcPr>
            <w:tcW w:w="1842" w:type="dxa"/>
            <w:tcBorders>
              <w:top w:val="single" w:color="auto" w:sz="4" w:space="0"/>
            </w:tcBorders>
          </w:tcPr>
          <w:p>
            <w:pPr>
              <w:rPr>
                <w:rFonts w:hint="default" w:ascii="Arial" w:hAnsi="Arial" w:cs="Arial"/>
              </w:rPr>
            </w:pPr>
          </w:p>
        </w:tc>
        <w:tc>
          <w:tcPr>
            <w:tcW w:w="1361" w:type="dxa"/>
            <w:tcBorders>
              <w:top w:val="single" w:color="auto" w:sz="4" w:space="0"/>
            </w:tcBorders>
          </w:tcPr>
          <w:p>
            <w:pPr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ind w:firstLine="210" w:firstLineChars="100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&lt;65</w:t>
            </w:r>
          </w:p>
        </w:tc>
        <w:tc>
          <w:tcPr>
            <w:tcW w:w="2060" w:type="dxa"/>
            <w:vMerge w:val="restart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0.129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361" w:type="dxa"/>
            <w:vMerge w:val="restart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ind w:firstLine="210" w:firstLineChars="100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&gt;65</w:t>
            </w:r>
          </w:p>
        </w:tc>
        <w:tc>
          <w:tcPr>
            <w:tcW w:w="2060" w:type="dxa"/>
            <w:vMerge w:val="continue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rPr>
                <w:rFonts w:hint="default" w:ascii="Arial" w:hAnsi="Arial" w:cs="Arial"/>
                <w:b/>
              </w:rPr>
            </w:pPr>
            <w:r>
              <w:rPr>
                <w:rFonts w:hint="default" w:ascii="Arial" w:hAnsi="Arial" w:cs="Arial"/>
                <w:b/>
              </w:rPr>
              <w:t>Gender</w:t>
            </w:r>
          </w:p>
        </w:tc>
        <w:tc>
          <w:tcPr>
            <w:tcW w:w="2060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361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ind w:firstLine="210" w:firstLineChars="100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Male</w:t>
            </w:r>
          </w:p>
        </w:tc>
        <w:tc>
          <w:tcPr>
            <w:tcW w:w="2060" w:type="dxa"/>
            <w:vMerge w:val="restart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0.510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361" w:type="dxa"/>
            <w:vMerge w:val="restart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ind w:firstLine="210" w:firstLineChars="100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Female</w:t>
            </w:r>
          </w:p>
        </w:tc>
        <w:tc>
          <w:tcPr>
            <w:tcW w:w="2060" w:type="dxa"/>
            <w:vMerge w:val="continue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361" w:type="dxa"/>
            <w:vMerge w:val="continue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rPr>
                <w:rFonts w:hint="default" w:ascii="Arial" w:hAnsi="Arial" w:cs="Arial"/>
                <w:b/>
              </w:rPr>
            </w:pPr>
            <w:r>
              <w:rPr>
                <w:rFonts w:hint="default" w:ascii="Arial" w:hAnsi="Arial" w:cs="Arial"/>
                <w:b/>
              </w:rPr>
              <w:t>Depth</w:t>
            </w:r>
          </w:p>
        </w:tc>
        <w:tc>
          <w:tcPr>
            <w:tcW w:w="2060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361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ind w:firstLine="210" w:firstLineChars="100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T1/T2/T3</w:t>
            </w:r>
          </w:p>
        </w:tc>
        <w:tc>
          <w:tcPr>
            <w:tcW w:w="2060" w:type="dxa"/>
            <w:vMerge w:val="restart"/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  <w:i/>
              </w:rPr>
            </w:pPr>
            <w:r>
              <w:rPr>
                <w:rFonts w:hint="default" w:ascii="Arial" w:hAnsi="Arial" w:cs="Arial"/>
                <w:b/>
                <w:i/>
              </w:rPr>
              <w:t>0.030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2.449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0.054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ind w:firstLine="210" w:firstLineChars="100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T4</w:t>
            </w:r>
          </w:p>
        </w:tc>
        <w:tc>
          <w:tcPr>
            <w:tcW w:w="2060" w:type="dxa"/>
            <w:vMerge w:val="continue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(0.986-4.983)</w:t>
            </w:r>
          </w:p>
        </w:tc>
        <w:tc>
          <w:tcPr>
            <w:tcW w:w="1361" w:type="dxa"/>
            <w:vMerge w:val="continue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rPr>
                <w:rFonts w:hint="default" w:ascii="Arial" w:hAnsi="Arial" w:cs="Arial"/>
                <w:b/>
              </w:rPr>
            </w:pPr>
            <w:r>
              <w:rPr>
                <w:rFonts w:hint="default" w:ascii="Arial" w:hAnsi="Arial" w:cs="Arial"/>
                <w:b/>
              </w:rPr>
              <w:t>Lymph node metastasis</w:t>
            </w:r>
          </w:p>
        </w:tc>
        <w:tc>
          <w:tcPr>
            <w:tcW w:w="2060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361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ind w:firstLine="210" w:firstLineChars="100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Negative</w:t>
            </w:r>
          </w:p>
        </w:tc>
        <w:tc>
          <w:tcPr>
            <w:tcW w:w="2060" w:type="dxa"/>
            <w:vMerge w:val="restart"/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  <w:i/>
              </w:rPr>
            </w:pPr>
            <w:r>
              <w:rPr>
                <w:rFonts w:hint="default" w:ascii="Arial" w:hAnsi="Arial" w:cs="Arial"/>
                <w:b/>
                <w:i/>
              </w:rPr>
              <w:t>0.001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4.876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  <w:b/>
                <w:i/>
              </w:rPr>
              <w:t>0.001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ind w:firstLine="210" w:firstLineChars="100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Positive</w:t>
            </w:r>
          </w:p>
        </w:tc>
        <w:tc>
          <w:tcPr>
            <w:tcW w:w="2060" w:type="dxa"/>
            <w:vMerge w:val="continue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(2.386-8.820)</w:t>
            </w:r>
          </w:p>
        </w:tc>
        <w:tc>
          <w:tcPr>
            <w:tcW w:w="1361" w:type="dxa"/>
            <w:vMerge w:val="continue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rPr>
                <w:rFonts w:hint="default" w:ascii="Arial" w:hAnsi="Arial" w:cs="Arial"/>
                <w:b/>
              </w:rPr>
            </w:pPr>
            <w:r>
              <w:rPr>
                <w:rFonts w:hint="default" w:ascii="Arial" w:hAnsi="Arial" w:cs="Arial"/>
                <w:b/>
              </w:rPr>
              <w:t>Venous invasion</w:t>
            </w:r>
          </w:p>
        </w:tc>
        <w:tc>
          <w:tcPr>
            <w:tcW w:w="2060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361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ind w:firstLine="210" w:firstLineChars="100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Negative</w:t>
            </w:r>
          </w:p>
        </w:tc>
        <w:tc>
          <w:tcPr>
            <w:tcW w:w="2060" w:type="dxa"/>
            <w:vMerge w:val="restart"/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  <w:i/>
              </w:rPr>
            </w:pPr>
            <w:r>
              <w:rPr>
                <w:rFonts w:hint="default" w:ascii="Arial" w:hAnsi="Arial" w:cs="Arial"/>
                <w:b/>
                <w:i/>
              </w:rPr>
              <w:t>0.034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2.262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0.146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ind w:firstLine="210" w:firstLineChars="100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Positive</w:t>
            </w:r>
          </w:p>
        </w:tc>
        <w:tc>
          <w:tcPr>
            <w:tcW w:w="2060" w:type="dxa"/>
            <w:vMerge w:val="continue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(0.753-4.796)</w:t>
            </w:r>
          </w:p>
        </w:tc>
        <w:tc>
          <w:tcPr>
            <w:tcW w:w="1361" w:type="dxa"/>
            <w:vMerge w:val="continue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rPr>
                <w:rFonts w:hint="default" w:ascii="Arial" w:hAnsi="Arial" w:cs="Arial"/>
                <w:b/>
              </w:rPr>
            </w:pPr>
            <w:r>
              <w:rPr>
                <w:rFonts w:hint="default" w:ascii="Arial" w:hAnsi="Arial" w:cs="Arial"/>
                <w:b/>
              </w:rPr>
              <w:t>CEA</w:t>
            </w:r>
          </w:p>
        </w:tc>
        <w:tc>
          <w:tcPr>
            <w:tcW w:w="2060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361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ind w:firstLine="210" w:firstLineChars="100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&lt;5</w:t>
            </w:r>
          </w:p>
        </w:tc>
        <w:tc>
          <w:tcPr>
            <w:tcW w:w="2060" w:type="dxa"/>
            <w:vMerge w:val="restart"/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  <w:i/>
              </w:rPr>
            </w:pPr>
            <w:r>
              <w:rPr>
                <w:rFonts w:hint="default" w:ascii="Arial" w:hAnsi="Arial" w:cs="Arial"/>
                <w:b/>
                <w:i/>
              </w:rPr>
              <w:t>0.008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3.177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  <w:i/>
              </w:rPr>
            </w:pPr>
            <w:r>
              <w:rPr>
                <w:rFonts w:hint="default" w:ascii="Arial" w:hAnsi="Arial" w:cs="Arial"/>
                <w:b/>
                <w:i/>
              </w:rPr>
              <w:t>0.019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ind w:firstLine="210" w:firstLineChars="100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&gt;5</w:t>
            </w:r>
          </w:p>
        </w:tc>
        <w:tc>
          <w:tcPr>
            <w:tcW w:w="2060" w:type="dxa"/>
            <w:vMerge w:val="continue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(1.212-6.329)</w:t>
            </w:r>
          </w:p>
        </w:tc>
        <w:tc>
          <w:tcPr>
            <w:tcW w:w="1361" w:type="dxa"/>
            <w:vMerge w:val="continue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rPr>
                <w:rFonts w:hint="default" w:ascii="Arial" w:hAnsi="Arial" w:cs="Arial"/>
                <w:b/>
              </w:rPr>
            </w:pPr>
            <w:r>
              <w:rPr>
                <w:rFonts w:hint="default" w:ascii="Arial" w:hAnsi="Arial" w:cs="Arial"/>
                <w:b/>
              </w:rPr>
              <w:t>Lymphatic invasion</w:t>
            </w:r>
          </w:p>
        </w:tc>
        <w:tc>
          <w:tcPr>
            <w:tcW w:w="2060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361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ind w:firstLine="210" w:firstLineChars="100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Negative</w:t>
            </w:r>
          </w:p>
        </w:tc>
        <w:tc>
          <w:tcPr>
            <w:tcW w:w="2060" w:type="dxa"/>
            <w:vMerge w:val="restart"/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  <w:i/>
              </w:rPr>
            </w:pPr>
            <w:r>
              <w:rPr>
                <w:rFonts w:hint="default" w:ascii="Arial" w:hAnsi="Arial" w:cs="Arial"/>
                <w:b/>
                <w:i/>
              </w:rPr>
              <w:t>0.022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1.548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0.458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ind w:firstLine="210" w:firstLineChars="100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Positive</w:t>
            </w:r>
          </w:p>
        </w:tc>
        <w:tc>
          <w:tcPr>
            <w:tcW w:w="2060" w:type="dxa"/>
            <w:vMerge w:val="continue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(0.488-4.909)</w:t>
            </w:r>
          </w:p>
        </w:tc>
        <w:tc>
          <w:tcPr>
            <w:tcW w:w="1361" w:type="dxa"/>
            <w:vMerge w:val="continue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rPr>
                <w:rFonts w:hint="default" w:ascii="Arial" w:hAnsi="Arial" w:cs="Arial"/>
                <w:b/>
              </w:rPr>
            </w:pPr>
            <w:r>
              <w:rPr>
                <w:rFonts w:hint="default" w:ascii="Arial" w:hAnsi="Arial" w:cs="Arial"/>
                <w:b/>
              </w:rPr>
              <w:t>RIOK1</w:t>
            </w:r>
          </w:p>
        </w:tc>
        <w:tc>
          <w:tcPr>
            <w:tcW w:w="2060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361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</w:tcPr>
          <w:p>
            <w:pPr>
              <w:ind w:firstLine="210" w:firstLineChars="100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Low expression</w:t>
            </w:r>
          </w:p>
        </w:tc>
        <w:tc>
          <w:tcPr>
            <w:tcW w:w="2060" w:type="dxa"/>
            <w:vMerge w:val="restart"/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  <w:i/>
              </w:rPr>
            </w:pPr>
            <w:r>
              <w:rPr>
                <w:rFonts w:hint="default" w:ascii="Arial" w:hAnsi="Arial" w:cs="Arial"/>
                <w:b/>
                <w:i/>
              </w:rPr>
              <w:t>0.006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4.521</w:t>
            </w:r>
          </w:p>
        </w:tc>
        <w:tc>
          <w:tcPr>
            <w:tcW w:w="1361" w:type="dxa"/>
            <w:vMerge w:val="restart"/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  <w:i/>
              </w:rPr>
            </w:pPr>
            <w:r>
              <w:rPr>
                <w:rFonts w:hint="default" w:ascii="Arial" w:hAnsi="Arial" w:cs="Arial"/>
                <w:b/>
                <w:i/>
              </w:rPr>
              <w:t>0.003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43" w:type="dxa"/>
            <w:tcBorders>
              <w:bottom w:val="single" w:color="auto" w:sz="4" w:space="0"/>
            </w:tcBorders>
          </w:tcPr>
          <w:p>
            <w:pPr>
              <w:ind w:firstLine="210" w:firstLineChars="100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High expression</w:t>
            </w:r>
          </w:p>
        </w:tc>
        <w:tc>
          <w:tcPr>
            <w:tcW w:w="206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  <w:tc>
          <w:tcPr>
            <w:tcW w:w="184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cs="Arial"/>
              </w:rPr>
              <w:t>(1.648-8.402)</w:t>
            </w:r>
          </w:p>
        </w:tc>
        <w:tc>
          <w:tcPr>
            <w:tcW w:w="136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Arial" w:hAnsi="Arial" w:cs="Arial"/>
              </w:rPr>
            </w:pPr>
          </w:p>
        </w:tc>
      </w:tr>
    </w:tbl>
    <w:p>
      <w:pPr/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等线">
    <w:altName w:val="SimSu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SimSu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dvOTd877c31c 03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dvOT88ac8687 fb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AdvOTd877c31c 20">
    <w:altName w:val="Microsoft YaHei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dvOTdd3b7348.I+03">
    <w:altName w:val="SimSu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NewRomanBdM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arnockPro-Regular">
    <w:altName w:val="SimSu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vAGaramond-R">
    <w:altName w:val="SimSu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HelveticaLTStd-Roman">
    <w:altName w:val="SimSun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2B"/>
    <w:rsid w:val="0001233C"/>
    <w:rsid w:val="000265CC"/>
    <w:rsid w:val="00052A03"/>
    <w:rsid w:val="00061049"/>
    <w:rsid w:val="00072CC7"/>
    <w:rsid w:val="000A338D"/>
    <w:rsid w:val="000C4D72"/>
    <w:rsid w:val="00114D4A"/>
    <w:rsid w:val="00141000"/>
    <w:rsid w:val="00161A72"/>
    <w:rsid w:val="001A0C11"/>
    <w:rsid w:val="001A2357"/>
    <w:rsid w:val="001D490A"/>
    <w:rsid w:val="00203E0C"/>
    <w:rsid w:val="002266FA"/>
    <w:rsid w:val="00270B47"/>
    <w:rsid w:val="0028799C"/>
    <w:rsid w:val="0029065F"/>
    <w:rsid w:val="002B52BE"/>
    <w:rsid w:val="002C43F9"/>
    <w:rsid w:val="00305F05"/>
    <w:rsid w:val="00306853"/>
    <w:rsid w:val="00354BFB"/>
    <w:rsid w:val="003623FF"/>
    <w:rsid w:val="00366B8F"/>
    <w:rsid w:val="003701E6"/>
    <w:rsid w:val="003A5EA0"/>
    <w:rsid w:val="003A6063"/>
    <w:rsid w:val="003D0119"/>
    <w:rsid w:val="00440119"/>
    <w:rsid w:val="004665F5"/>
    <w:rsid w:val="00504BE2"/>
    <w:rsid w:val="005126DA"/>
    <w:rsid w:val="00550937"/>
    <w:rsid w:val="00551608"/>
    <w:rsid w:val="00557945"/>
    <w:rsid w:val="00582FCF"/>
    <w:rsid w:val="005E351B"/>
    <w:rsid w:val="0062772B"/>
    <w:rsid w:val="00635B65"/>
    <w:rsid w:val="006370A5"/>
    <w:rsid w:val="006615BB"/>
    <w:rsid w:val="00674FAE"/>
    <w:rsid w:val="00693A84"/>
    <w:rsid w:val="00703F67"/>
    <w:rsid w:val="00707160"/>
    <w:rsid w:val="00743FE8"/>
    <w:rsid w:val="0074600E"/>
    <w:rsid w:val="007C14E8"/>
    <w:rsid w:val="007C1FF4"/>
    <w:rsid w:val="007E783B"/>
    <w:rsid w:val="007F7DD1"/>
    <w:rsid w:val="00801235"/>
    <w:rsid w:val="008162F5"/>
    <w:rsid w:val="00825924"/>
    <w:rsid w:val="00835503"/>
    <w:rsid w:val="008976DF"/>
    <w:rsid w:val="008A71C8"/>
    <w:rsid w:val="00911766"/>
    <w:rsid w:val="009714A6"/>
    <w:rsid w:val="009A6298"/>
    <w:rsid w:val="009B7FD0"/>
    <w:rsid w:val="009C4A1F"/>
    <w:rsid w:val="009E2683"/>
    <w:rsid w:val="009E6D89"/>
    <w:rsid w:val="00A60E99"/>
    <w:rsid w:val="00AA36CE"/>
    <w:rsid w:val="00AA5805"/>
    <w:rsid w:val="00AD6B95"/>
    <w:rsid w:val="00AF4CC9"/>
    <w:rsid w:val="00B01654"/>
    <w:rsid w:val="00B0500A"/>
    <w:rsid w:val="00B101DA"/>
    <w:rsid w:val="00B15828"/>
    <w:rsid w:val="00B25EC6"/>
    <w:rsid w:val="00B43534"/>
    <w:rsid w:val="00B608EB"/>
    <w:rsid w:val="00B73AD7"/>
    <w:rsid w:val="00BC454B"/>
    <w:rsid w:val="00BC7D89"/>
    <w:rsid w:val="00BE7E03"/>
    <w:rsid w:val="00C23488"/>
    <w:rsid w:val="00C24B6F"/>
    <w:rsid w:val="00C410FB"/>
    <w:rsid w:val="00C81BDB"/>
    <w:rsid w:val="00CF03CC"/>
    <w:rsid w:val="00D528BD"/>
    <w:rsid w:val="00D56088"/>
    <w:rsid w:val="00D6671D"/>
    <w:rsid w:val="00D92EE3"/>
    <w:rsid w:val="00DC5E98"/>
    <w:rsid w:val="00DD2217"/>
    <w:rsid w:val="00E121B5"/>
    <w:rsid w:val="00E12D25"/>
    <w:rsid w:val="00E44353"/>
    <w:rsid w:val="00E97A0B"/>
    <w:rsid w:val="00EA3B3E"/>
    <w:rsid w:val="00EA62C8"/>
    <w:rsid w:val="00EC688F"/>
    <w:rsid w:val="00EE3207"/>
    <w:rsid w:val="00F255D3"/>
    <w:rsid w:val="00F45F97"/>
    <w:rsid w:val="00F4744C"/>
    <w:rsid w:val="00F57D83"/>
    <w:rsid w:val="00F66262"/>
    <w:rsid w:val="00F700B5"/>
    <w:rsid w:val="00F71A91"/>
    <w:rsid w:val="00F750AE"/>
    <w:rsid w:val="00F80A52"/>
    <w:rsid w:val="00FB58DB"/>
    <w:rsid w:val="00FD2BCD"/>
    <w:rsid w:val="00FF7DA4"/>
    <w:rsid w:val="087730FD"/>
    <w:rsid w:val="162E5849"/>
    <w:rsid w:val="1F892955"/>
    <w:rsid w:val="68D811AB"/>
    <w:rsid w:val="6E230F9C"/>
    <w:rsid w:val="774F0EE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</w:style>
  <w:style w:type="paragraph" w:styleId="3">
    <w:name w:val="header"/>
    <w:basedOn w:val="1"/>
    <w:link w:val="7"/>
    <w:unhideWhenUsed/>
    <w:uiPriority w:val="99"/>
    <w:pPr>
      <w:tabs>
        <w:tab w:val="center" w:pos="4153"/>
        <w:tab w:val="right" w:pos="8306"/>
      </w:tabs>
    </w:p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uiPriority w:val="99"/>
  </w:style>
  <w:style w:type="character" w:customStyle="1" w:styleId="8">
    <w:name w:val="页脚 字符"/>
    <w:basedOn w:val="4"/>
    <w:link w:val="2"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471</Characters>
  <Lines>3</Lines>
  <Paragraphs>1</Paragraphs>
  <TotalTime>0</TotalTime>
  <ScaleCrop>false</ScaleCrop>
  <LinksUpToDate>false</LinksUpToDate>
  <CharactersWithSpaces>552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2016-05-30T09:35:00Z</dcterms:created>
  <dc:creator>Moon Lau</dc:creator>
  <cp:lastModifiedBy>Hongxu</cp:lastModifiedBy>
  <dcterms:modified xsi:type="dcterms:W3CDTF">2016-07-11T14:40:36Z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