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3E565" w14:textId="77777777" w:rsidR="00813261" w:rsidRDefault="00813261" w:rsidP="00813261">
      <w:pPr>
        <w:keepNext/>
      </w:pPr>
      <w:r>
        <w:rPr>
          <w:noProof/>
          <w:lang w:eastAsia="en-GB"/>
        </w:rPr>
        <w:drawing>
          <wp:inline distT="0" distB="0" distL="0" distR="0" wp14:anchorId="49F3018C" wp14:editId="0A8F336D">
            <wp:extent cx="5705856" cy="5967984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Figure S 3 v2 11th Jun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5856" cy="5967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41181" w14:textId="7273D309" w:rsidR="00813261" w:rsidRPr="008C3F46" w:rsidRDefault="00CD0CC9" w:rsidP="00813261">
      <w:pPr>
        <w:pStyle w:val="Caption"/>
        <w:spacing w:line="276" w:lineRule="auto"/>
        <w:rPr>
          <w:sz w:val="21"/>
        </w:rPr>
      </w:pPr>
      <w:bookmarkStart w:id="0" w:name="_Ref481492793"/>
      <w:r>
        <w:rPr>
          <w:b/>
          <w:sz w:val="22"/>
        </w:rPr>
        <w:t>Figure 5</w:t>
      </w:r>
      <w:r w:rsidR="00813261">
        <w:rPr>
          <w:b/>
          <w:sz w:val="22"/>
        </w:rPr>
        <w:t xml:space="preserve"> – Supplement 1</w:t>
      </w:r>
      <w:bookmarkEnd w:id="0"/>
      <w:r w:rsidR="00813261">
        <w:rPr>
          <w:b/>
          <w:sz w:val="22"/>
        </w:rPr>
        <w:t>:</w:t>
      </w:r>
      <w:r w:rsidR="00813261" w:rsidRPr="00EE62C8">
        <w:rPr>
          <w:b/>
          <w:noProof/>
          <w:sz w:val="22"/>
        </w:rPr>
        <w:t xml:space="preserve"> </w:t>
      </w:r>
      <w:r w:rsidR="00813261">
        <w:rPr>
          <w:b/>
          <w:noProof/>
          <w:sz w:val="22"/>
        </w:rPr>
        <w:br/>
      </w:r>
      <w:r w:rsidR="00813261" w:rsidRPr="00EE62C8">
        <w:rPr>
          <w:b/>
          <w:sz w:val="22"/>
        </w:rPr>
        <w:t xml:space="preserve">Development of neuropathic pain phenotype after </w:t>
      </w:r>
      <w:proofErr w:type="spellStart"/>
      <w:r w:rsidR="00813261" w:rsidRPr="00EE62C8">
        <w:rPr>
          <w:b/>
          <w:sz w:val="22"/>
        </w:rPr>
        <w:t>tibial</w:t>
      </w:r>
      <w:proofErr w:type="spellEnd"/>
      <w:r w:rsidR="00813261" w:rsidRPr="00EE62C8">
        <w:rPr>
          <w:b/>
          <w:sz w:val="22"/>
        </w:rPr>
        <w:t xml:space="preserve"> nerve transection and analgesic </w:t>
      </w:r>
      <w:r w:rsidR="000C032D">
        <w:rPr>
          <w:b/>
          <w:sz w:val="22"/>
        </w:rPr>
        <w:t>profile</w:t>
      </w:r>
      <w:r w:rsidR="00813261" w:rsidRPr="00EE62C8">
        <w:rPr>
          <w:b/>
          <w:sz w:val="22"/>
        </w:rPr>
        <w:t xml:space="preserve"> of </w:t>
      </w:r>
      <w:proofErr w:type="spellStart"/>
      <w:r w:rsidR="00813261" w:rsidRPr="00EE62C8">
        <w:rPr>
          <w:b/>
          <w:sz w:val="22"/>
        </w:rPr>
        <w:t>chemogenetic</w:t>
      </w:r>
      <w:proofErr w:type="spellEnd"/>
      <w:r w:rsidR="00813261" w:rsidRPr="00EE62C8">
        <w:rPr>
          <w:b/>
          <w:sz w:val="22"/>
        </w:rPr>
        <w:t xml:space="preserve"> activation of LC</w:t>
      </w:r>
      <w:r w:rsidR="00813261" w:rsidRPr="00EE62C8">
        <w:rPr>
          <w:b/>
          <w:position w:val="4"/>
        </w:rPr>
        <w:t>:SC</w:t>
      </w:r>
      <w:r w:rsidR="00813261" w:rsidRPr="00EE62C8">
        <w:rPr>
          <w:b/>
          <w:sz w:val="22"/>
        </w:rPr>
        <w:t xml:space="preserve"> </w:t>
      </w:r>
      <w:r w:rsidR="009312A1">
        <w:rPr>
          <w:b/>
          <w:sz w:val="22"/>
        </w:rPr>
        <w:t xml:space="preserve">vs </w:t>
      </w:r>
      <w:r w:rsidR="009312A1" w:rsidRPr="009312A1">
        <w:rPr>
          <w:b/>
          <w:sz w:val="22"/>
        </w:rPr>
        <w:t>LC</w:t>
      </w:r>
      <w:r w:rsidR="009312A1" w:rsidRPr="009312A1">
        <w:rPr>
          <w:b/>
          <w:position w:val="4"/>
          <w:sz w:val="20"/>
        </w:rPr>
        <w:t>:PFC</w:t>
      </w:r>
      <w:r w:rsidR="009312A1">
        <w:rPr>
          <w:b/>
          <w:position w:val="4"/>
        </w:rPr>
        <w:t xml:space="preserve"> </w:t>
      </w:r>
      <w:r w:rsidR="00813261" w:rsidRPr="00EE62C8">
        <w:rPr>
          <w:b/>
          <w:sz w:val="22"/>
        </w:rPr>
        <w:br/>
      </w:r>
      <w:r w:rsidR="00813261" w:rsidRPr="008C3F46">
        <w:rPr>
          <w:sz w:val="21"/>
        </w:rPr>
        <w:t xml:space="preserve">(A) Progression of mechanical sensitivity, cold sensitivity and </w:t>
      </w:r>
      <w:proofErr w:type="spellStart"/>
      <w:r w:rsidR="00813261" w:rsidRPr="008C3F46">
        <w:rPr>
          <w:sz w:val="21"/>
        </w:rPr>
        <w:t>incapacitance</w:t>
      </w:r>
      <w:proofErr w:type="spellEnd"/>
      <w:r w:rsidR="00813261" w:rsidRPr="008C3F46">
        <w:rPr>
          <w:sz w:val="21"/>
        </w:rPr>
        <w:t xml:space="preserve"> before and for 7 weeks af</w:t>
      </w:r>
      <w:bookmarkStart w:id="1" w:name="_GoBack"/>
      <w:bookmarkEnd w:id="1"/>
      <w:r w:rsidR="00813261" w:rsidRPr="008C3F46">
        <w:rPr>
          <w:sz w:val="21"/>
        </w:rPr>
        <w:t>ter nerve injury (</w:t>
      </w:r>
      <w:r w:rsidR="00813261" w:rsidRPr="00067E97">
        <w:rPr>
          <w:b/>
          <w:sz w:val="21"/>
        </w:rPr>
        <w:t>LC</w:t>
      </w:r>
      <w:r w:rsidR="00813261" w:rsidRPr="00067E97">
        <w:rPr>
          <w:b/>
          <w:position w:val="4"/>
        </w:rPr>
        <w:t>:SC</w:t>
      </w:r>
      <w:r w:rsidR="00813261" w:rsidRPr="008C3F46">
        <w:rPr>
          <w:sz w:val="21"/>
        </w:rPr>
        <w:t xml:space="preserve"> N=8, </w:t>
      </w:r>
      <w:r w:rsidR="00813261" w:rsidRPr="00572D9D">
        <w:rPr>
          <w:b/>
          <w:sz w:val="21"/>
        </w:rPr>
        <w:t>LC</w:t>
      </w:r>
      <w:r w:rsidR="00813261" w:rsidRPr="00572D9D">
        <w:rPr>
          <w:b/>
          <w:position w:val="4"/>
        </w:rPr>
        <w:t>:PFC</w:t>
      </w:r>
      <w:r w:rsidR="00813261" w:rsidRPr="008C3F46">
        <w:rPr>
          <w:sz w:val="21"/>
        </w:rPr>
        <w:t xml:space="preserve"> N=7, sham N=6, 2-way repeated measures ANOVA with Bonferroni’s multiple comparison, * P&lt;0.05 </w:t>
      </w:r>
      <w:r w:rsidR="00813261">
        <w:rPr>
          <w:sz w:val="21"/>
        </w:rPr>
        <w:t>, ** P&lt;0.01,</w:t>
      </w:r>
      <w:r w:rsidR="00813261" w:rsidRPr="008C3F46">
        <w:rPr>
          <w:sz w:val="21"/>
        </w:rPr>
        <w:t xml:space="preserve"> *** P&lt;0.001,</w:t>
      </w:r>
      <w:r w:rsidR="00813261">
        <w:rPr>
          <w:sz w:val="21"/>
        </w:rPr>
        <w:t xml:space="preserve"> </w:t>
      </w:r>
      <w:r w:rsidR="00813261" w:rsidRPr="008C3F46">
        <w:rPr>
          <w:sz w:val="21"/>
        </w:rPr>
        <w:t>**** P&lt;0.0001, red stars:</w:t>
      </w:r>
      <w:r w:rsidR="00813261" w:rsidRPr="00773B29">
        <w:rPr>
          <w:b/>
          <w:sz w:val="21"/>
        </w:rPr>
        <w:t xml:space="preserve"> LC</w:t>
      </w:r>
      <w:r w:rsidR="00813261" w:rsidRPr="00773B29">
        <w:rPr>
          <w:b/>
          <w:position w:val="4"/>
        </w:rPr>
        <w:t>:SC</w:t>
      </w:r>
      <w:r w:rsidR="00813261" w:rsidRPr="008C3F46">
        <w:rPr>
          <w:sz w:val="21"/>
        </w:rPr>
        <w:t xml:space="preserve"> vs Sham, blue stars:</w:t>
      </w:r>
      <w:r w:rsidR="00813261" w:rsidRPr="00FD4AD2">
        <w:rPr>
          <w:b/>
          <w:sz w:val="21"/>
        </w:rPr>
        <w:t xml:space="preserve"> LC</w:t>
      </w:r>
      <w:r w:rsidR="00813261" w:rsidRPr="00FD4AD2">
        <w:rPr>
          <w:b/>
          <w:position w:val="4"/>
        </w:rPr>
        <w:t>:PFC</w:t>
      </w:r>
      <w:r w:rsidR="00813261" w:rsidRPr="008C3F46">
        <w:rPr>
          <w:sz w:val="21"/>
        </w:rPr>
        <w:t xml:space="preserve"> vs Sham, black star </w:t>
      </w:r>
      <w:r w:rsidR="00813261" w:rsidRPr="00FD4AD2">
        <w:rPr>
          <w:b/>
          <w:sz w:val="21"/>
        </w:rPr>
        <w:t>LC</w:t>
      </w:r>
      <w:r w:rsidR="00813261" w:rsidRPr="00FD4AD2">
        <w:rPr>
          <w:b/>
          <w:position w:val="4"/>
        </w:rPr>
        <w:t>:SC</w:t>
      </w:r>
      <w:r w:rsidR="00813261" w:rsidRPr="008C3F46">
        <w:rPr>
          <w:sz w:val="21"/>
        </w:rPr>
        <w:t xml:space="preserve"> vs </w:t>
      </w:r>
      <w:r w:rsidR="00813261" w:rsidRPr="00FD4AD2">
        <w:rPr>
          <w:b/>
          <w:sz w:val="21"/>
        </w:rPr>
        <w:t>LC</w:t>
      </w:r>
      <w:r w:rsidR="00813261" w:rsidRPr="00FD4AD2">
        <w:rPr>
          <w:b/>
          <w:position w:val="4"/>
        </w:rPr>
        <w:t>:PFC</w:t>
      </w:r>
      <w:r w:rsidR="00813261" w:rsidRPr="008C3F46">
        <w:rPr>
          <w:sz w:val="21"/>
        </w:rPr>
        <w:t xml:space="preserve">) </w:t>
      </w:r>
      <w:r w:rsidR="00813261" w:rsidRPr="008C3F46">
        <w:rPr>
          <w:sz w:val="21"/>
        </w:rPr>
        <w:br/>
        <w:t xml:space="preserve">(B) PSEM308 (10 mg/kg) alleviates ipsilateral hypersensitivity and improves </w:t>
      </w:r>
      <w:proofErr w:type="spellStart"/>
      <w:r w:rsidR="00813261" w:rsidRPr="008C3F46">
        <w:rPr>
          <w:sz w:val="21"/>
        </w:rPr>
        <w:t>incapacitance</w:t>
      </w:r>
      <w:proofErr w:type="spellEnd"/>
      <w:r w:rsidR="00813261" w:rsidRPr="008C3F46">
        <w:rPr>
          <w:sz w:val="21"/>
        </w:rPr>
        <w:t xml:space="preserve"> only in the </w:t>
      </w:r>
      <w:r w:rsidR="00813261" w:rsidRPr="00EE62C8">
        <w:rPr>
          <w:b/>
          <w:sz w:val="21"/>
        </w:rPr>
        <w:t>LC</w:t>
      </w:r>
      <w:r w:rsidR="00813261" w:rsidRPr="00EE62C8">
        <w:rPr>
          <w:b/>
          <w:position w:val="4"/>
        </w:rPr>
        <w:t>:SC</w:t>
      </w:r>
      <w:r w:rsidR="00813261" w:rsidRPr="008C3F46">
        <w:rPr>
          <w:sz w:val="21"/>
        </w:rPr>
        <w:t xml:space="preserve"> group 4 weeks after nerve injury (2-way repeated measures ANOVA with Bonferroni’s multiple comparison PSEM308 vs saline, * P&lt;0.05,</w:t>
      </w:r>
      <w:r w:rsidR="00813261">
        <w:rPr>
          <w:sz w:val="21"/>
        </w:rPr>
        <w:t xml:space="preserve"> </w:t>
      </w:r>
      <w:r w:rsidR="00813261" w:rsidRPr="008C3F46">
        <w:rPr>
          <w:sz w:val="21"/>
        </w:rPr>
        <w:t xml:space="preserve">**** P&lt;0.0001, </w:t>
      </w:r>
      <w:r w:rsidR="00813261" w:rsidRPr="00EE62C8">
        <w:rPr>
          <w:b/>
          <w:sz w:val="21"/>
        </w:rPr>
        <w:t>LC</w:t>
      </w:r>
      <w:r w:rsidR="00813261" w:rsidRPr="00EE62C8">
        <w:rPr>
          <w:b/>
          <w:position w:val="4"/>
        </w:rPr>
        <w:t>:SC</w:t>
      </w:r>
      <w:r w:rsidR="00813261" w:rsidRPr="008C3F46">
        <w:rPr>
          <w:sz w:val="21"/>
        </w:rPr>
        <w:t xml:space="preserve"> N=8, </w:t>
      </w:r>
      <w:r w:rsidR="00813261" w:rsidRPr="00EE62C8">
        <w:rPr>
          <w:b/>
          <w:sz w:val="21"/>
        </w:rPr>
        <w:t>LC</w:t>
      </w:r>
      <w:r w:rsidR="00813261" w:rsidRPr="00EE62C8">
        <w:rPr>
          <w:b/>
          <w:position w:val="4"/>
        </w:rPr>
        <w:t>:PFC</w:t>
      </w:r>
      <w:r w:rsidR="00813261" w:rsidRPr="008C3F46">
        <w:rPr>
          <w:sz w:val="21"/>
        </w:rPr>
        <w:t xml:space="preserve"> N=7, sham N=6)</w:t>
      </w:r>
      <w:r w:rsidR="00813261" w:rsidRPr="008C3F46">
        <w:rPr>
          <w:sz w:val="21"/>
        </w:rPr>
        <w:br/>
      </w:r>
      <w:r w:rsidR="00813261" w:rsidRPr="008C3F46">
        <w:rPr>
          <w:noProof/>
          <w:sz w:val="21"/>
        </w:rPr>
        <w:t xml:space="preserve">(C) </w:t>
      </w:r>
      <w:r w:rsidR="00813261" w:rsidRPr="008C3F46">
        <w:rPr>
          <w:sz w:val="21"/>
        </w:rPr>
        <w:t xml:space="preserve">Timeline of sensory testing and representative image of an intrathecal injection of </w:t>
      </w:r>
      <w:proofErr w:type="spellStart"/>
      <w:r w:rsidR="00813261" w:rsidRPr="008C3F46">
        <w:rPr>
          <w:sz w:val="21"/>
        </w:rPr>
        <w:t>pontamine</w:t>
      </w:r>
      <w:proofErr w:type="spellEnd"/>
      <w:r w:rsidR="00813261" w:rsidRPr="008C3F46">
        <w:rPr>
          <w:sz w:val="21"/>
        </w:rPr>
        <w:t xml:space="preserve"> sky blue 5 minutes before trans-cardiac perfusion (N=3). Dye was restricted to the caudal region of the spinal cord.</w:t>
      </w:r>
      <w:r w:rsidR="00813261" w:rsidRPr="008C3F46">
        <w:rPr>
          <w:sz w:val="21"/>
        </w:rPr>
        <w:br/>
        <w:t xml:space="preserve">(D) Ipsilateral </w:t>
      </w:r>
      <w:proofErr w:type="spellStart"/>
      <w:r w:rsidR="00813261" w:rsidRPr="008C3F46">
        <w:rPr>
          <w:sz w:val="21"/>
        </w:rPr>
        <w:t>chemogenetic</w:t>
      </w:r>
      <w:proofErr w:type="spellEnd"/>
      <w:r w:rsidR="00813261" w:rsidRPr="008C3F46">
        <w:rPr>
          <w:sz w:val="21"/>
        </w:rPr>
        <w:t xml:space="preserve"> analgesia was blocked by pre-treatment with </w:t>
      </w:r>
      <w:proofErr w:type="spellStart"/>
      <w:r w:rsidR="00813261" w:rsidRPr="008C3F46">
        <w:rPr>
          <w:sz w:val="21"/>
        </w:rPr>
        <w:t>yohimbine</w:t>
      </w:r>
      <w:proofErr w:type="spellEnd"/>
      <w:r w:rsidR="00813261" w:rsidRPr="008C3F46">
        <w:rPr>
          <w:sz w:val="21"/>
        </w:rPr>
        <w:t xml:space="preserve"> (repeated measures </w:t>
      </w:r>
      <w:r w:rsidR="00813261" w:rsidRPr="008C3F46">
        <w:rPr>
          <w:sz w:val="21"/>
        </w:rPr>
        <w:lastRenderedPageBreak/>
        <w:t>ANOVA with Bonferroni’s multiple comparison, * P&lt;0.05, ** P&lt;0.01, *** P&lt;0.001)</w:t>
      </w:r>
      <w:r w:rsidR="00813261">
        <w:rPr>
          <w:sz w:val="21"/>
        </w:rPr>
        <w:t xml:space="preserve">. </w:t>
      </w:r>
      <w:r w:rsidR="00813261" w:rsidRPr="008C3F46">
        <w:rPr>
          <w:sz w:val="21"/>
        </w:rPr>
        <w:t>Note also that</w:t>
      </w:r>
      <w:r w:rsidR="00813261" w:rsidRPr="008C3F46">
        <w:rPr>
          <w:noProof/>
          <w:sz w:val="21"/>
        </w:rPr>
        <w:t xml:space="preserve"> </w:t>
      </w:r>
      <w:r w:rsidR="00813261" w:rsidRPr="008C3F46">
        <w:rPr>
          <w:sz w:val="21"/>
        </w:rPr>
        <w:t xml:space="preserve">Intrathecal </w:t>
      </w:r>
      <w:proofErr w:type="spellStart"/>
      <w:r w:rsidR="00813261" w:rsidRPr="008C3F46">
        <w:rPr>
          <w:sz w:val="21"/>
        </w:rPr>
        <w:t>yohimbine</w:t>
      </w:r>
      <w:proofErr w:type="spellEnd"/>
      <w:r w:rsidR="00813261" w:rsidRPr="008C3F46">
        <w:rPr>
          <w:sz w:val="21"/>
        </w:rPr>
        <w:t xml:space="preserve"> (60ng i.t) lowered the mechanical and cold thresholds contralateral to nerve injury in the presence or absence of PSEM308 (10 mg/kg </w:t>
      </w:r>
      <w:proofErr w:type="spellStart"/>
      <w:r w:rsidR="00813261" w:rsidRPr="008C3F46">
        <w:rPr>
          <w:sz w:val="21"/>
        </w:rPr>
        <w:t>i.p</w:t>
      </w:r>
      <w:proofErr w:type="spellEnd"/>
      <w:r w:rsidR="00813261" w:rsidRPr="008C3F46">
        <w:rPr>
          <w:sz w:val="21"/>
        </w:rPr>
        <w:t xml:space="preserve">) (2-way repeated measures ANOVA with Bonferroni’s multiple comparison, * P&lt;0.05, ** P&lt;0.01). Unmasking of contralateral sensitization was used as a positive control for successful intrathecal delivery of </w:t>
      </w:r>
      <w:proofErr w:type="spellStart"/>
      <w:r w:rsidR="00813261" w:rsidRPr="008C3F46">
        <w:rPr>
          <w:sz w:val="21"/>
        </w:rPr>
        <w:t>yohimbine</w:t>
      </w:r>
      <w:proofErr w:type="spellEnd"/>
      <w:r w:rsidR="00813261" w:rsidRPr="008C3F46">
        <w:rPr>
          <w:sz w:val="21"/>
        </w:rPr>
        <w:t xml:space="preserve"> (Hughes et al 2013).</w:t>
      </w:r>
      <w:r w:rsidR="00813261" w:rsidRPr="008C3F46">
        <w:rPr>
          <w:sz w:val="21"/>
        </w:rPr>
        <w:br/>
        <w:t>Data are presented as mean ±SEM</w:t>
      </w:r>
    </w:p>
    <w:p w14:paraId="49407C72" w14:textId="77777777" w:rsidR="002921AC" w:rsidRPr="00813261" w:rsidRDefault="002921AC" w:rsidP="00813261"/>
    <w:sectPr w:rsidR="002921AC" w:rsidRPr="008132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261"/>
    <w:rsid w:val="00006A9D"/>
    <w:rsid w:val="000C032D"/>
    <w:rsid w:val="002921AC"/>
    <w:rsid w:val="00514323"/>
    <w:rsid w:val="00813261"/>
    <w:rsid w:val="009312A1"/>
    <w:rsid w:val="00C61C3C"/>
    <w:rsid w:val="00CD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140C3"/>
  <w15:chartTrackingRefBased/>
  <w15:docId w15:val="{A25929E1-A665-4B54-9EA4-DBAF9E4D0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13261"/>
    <w:pPr>
      <w:spacing w:before="120" w:after="320" w:line="36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13261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246</Words>
  <Characters>1405</Characters>
  <Application>Microsoft Macintosh Word</Application>
  <DocSecurity>0</DocSecurity>
  <Lines>11</Lines>
  <Paragraphs>3</Paragraphs>
  <ScaleCrop>false</ScaleCrop>
  <Company>University of Bristol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Hirschberg</dc:creator>
  <cp:keywords/>
  <dc:description/>
  <cp:lastModifiedBy>Tony Pickering</cp:lastModifiedBy>
  <cp:revision>4</cp:revision>
  <dcterms:created xsi:type="dcterms:W3CDTF">2017-06-27T09:40:00Z</dcterms:created>
  <dcterms:modified xsi:type="dcterms:W3CDTF">2017-09-22T13:36:00Z</dcterms:modified>
</cp:coreProperties>
</file>