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A83" w:rsidRDefault="001C2A83" w:rsidP="001C2A83">
      <w:pPr>
        <w:spacing w:before="0" w:after="160" w:line="259" w:lineRule="auto"/>
      </w:pPr>
    </w:p>
    <w:p w:rsidR="001C2A83" w:rsidRPr="002226A6" w:rsidRDefault="001C2A83" w:rsidP="001C2A83">
      <w:pPr>
        <w:rPr>
          <w:lang w:eastAsia="en-GB"/>
        </w:rPr>
      </w:pPr>
      <w:r>
        <w:rPr>
          <w:noProof/>
          <w:lang w:eastAsia="en-GB"/>
        </w:rPr>
        <w:drawing>
          <wp:inline distT="0" distB="0" distL="0" distR="0" wp14:anchorId="602B1399" wp14:editId="6F9BCC9D">
            <wp:extent cx="5715000" cy="3609975"/>
            <wp:effectExtent l="0" t="0" r="0" b="9525"/>
            <wp:docPr id="11" name="Picture 11" descr="C:\Users\anxsh\Documents\Manuscript Neuron\Final Figure S 4\Figure S 4 -track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nxsh\Documents\Manuscript Neuron\Final Figure S 4\Figure S 4 -tracks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A83" w:rsidRPr="00E57AD9" w:rsidRDefault="001C2A83" w:rsidP="001C2A83">
      <w:pPr>
        <w:pStyle w:val="Caption"/>
        <w:spacing w:line="276" w:lineRule="auto"/>
        <w:rPr>
          <w:sz w:val="21"/>
          <w:szCs w:val="21"/>
        </w:rPr>
      </w:pPr>
      <w:bookmarkStart w:id="0" w:name="_Ref481064450"/>
      <w:r w:rsidRPr="00EE62C8">
        <w:rPr>
          <w:b/>
          <w:sz w:val="22"/>
        </w:rPr>
        <w:t xml:space="preserve">Figure </w:t>
      </w:r>
      <w:bookmarkEnd w:id="0"/>
      <w:r w:rsidR="00B40486">
        <w:rPr>
          <w:b/>
          <w:sz w:val="22"/>
        </w:rPr>
        <w:t>7</w:t>
      </w:r>
      <w:bookmarkStart w:id="1" w:name="_GoBack"/>
      <w:bookmarkEnd w:id="1"/>
      <w:r>
        <w:rPr>
          <w:b/>
          <w:sz w:val="22"/>
        </w:rPr>
        <w:t xml:space="preserve"> – Supplement 1</w:t>
      </w:r>
      <w:r w:rsidRPr="00EE62C8">
        <w:rPr>
          <w:b/>
          <w:sz w:val="22"/>
        </w:rPr>
        <w:t xml:space="preserve">: Chemogenetic stimulation of the </w:t>
      </w:r>
      <w:r w:rsidRPr="00EE62C8">
        <w:rPr>
          <w:b/>
          <w:noProof/>
          <w:sz w:val="22"/>
        </w:rPr>
        <w:t>LC</w:t>
      </w:r>
      <w:r w:rsidRPr="00EE62C8">
        <w:rPr>
          <w:b/>
          <w:noProof/>
          <w:position w:val="4"/>
        </w:rPr>
        <w:t>:PFC</w:t>
      </w:r>
      <w:r w:rsidRPr="00EE62C8">
        <w:rPr>
          <w:b/>
          <w:noProof/>
          <w:sz w:val="22"/>
        </w:rPr>
        <w:t xml:space="preserve"> </w:t>
      </w:r>
      <w:r w:rsidRPr="00EE62C8">
        <w:rPr>
          <w:b/>
          <w:sz w:val="22"/>
        </w:rPr>
        <w:t>module is anxiogenic in chronic pain</w:t>
      </w:r>
      <w:r w:rsidRPr="00EE62C8">
        <w:rPr>
          <w:b/>
          <w:sz w:val="22"/>
        </w:rPr>
        <w:br/>
      </w:r>
      <w:r w:rsidRPr="00E57AD9">
        <w:rPr>
          <w:sz w:val="21"/>
          <w:szCs w:val="21"/>
        </w:rPr>
        <w:t>(A) Timeline of nerve injury and open field testing</w:t>
      </w:r>
      <w:r w:rsidRPr="00E57AD9">
        <w:rPr>
          <w:sz w:val="21"/>
          <w:szCs w:val="21"/>
        </w:rPr>
        <w:br/>
        <w:t>(</w:t>
      </w:r>
      <w:r w:rsidRPr="00E57AD9">
        <w:rPr>
          <w:rFonts w:ascii="Segoe UI Emoji" w:eastAsia="Segoe UI Emoji" w:hAnsi="Segoe UI Emoji" w:cs="Segoe UI Emoji"/>
          <w:sz w:val="21"/>
          <w:szCs w:val="21"/>
        </w:rPr>
        <w:t xml:space="preserve">B) </w:t>
      </w:r>
      <w:r w:rsidRPr="00E57AD9">
        <w:rPr>
          <w:sz w:val="21"/>
          <w:szCs w:val="21"/>
        </w:rPr>
        <w:t>Representative heat maps showing activity in the open field test (OFT) after saline or PSEM308 (10 mg/kg) injection</w:t>
      </w:r>
      <w:r w:rsidRPr="00E57AD9">
        <w:rPr>
          <w:rFonts w:ascii="Segoe UI Emoji" w:eastAsia="Segoe UI Emoji" w:hAnsi="Segoe UI Emoji" w:cs="Segoe UI Emoji"/>
          <w:sz w:val="21"/>
          <w:szCs w:val="21"/>
        </w:rPr>
        <w:t xml:space="preserve"> for sham,</w:t>
      </w:r>
      <w:r w:rsidRPr="00E57AD9">
        <w:rPr>
          <w:noProof/>
          <w:sz w:val="21"/>
          <w:szCs w:val="21"/>
        </w:rPr>
        <w:t xml:space="preserve"> </w:t>
      </w:r>
      <w:r w:rsidRPr="00E57AD9">
        <w:rPr>
          <w:b/>
          <w:noProof/>
          <w:sz w:val="21"/>
          <w:szCs w:val="21"/>
        </w:rPr>
        <w:t>LC</w:t>
      </w:r>
      <w:r w:rsidRPr="00E57AD9">
        <w:rPr>
          <w:b/>
          <w:noProof/>
          <w:position w:val="4"/>
          <w:szCs w:val="21"/>
        </w:rPr>
        <w:t>:SC</w:t>
      </w:r>
      <w:r w:rsidRPr="00E57AD9">
        <w:rPr>
          <w:noProof/>
          <w:sz w:val="21"/>
          <w:szCs w:val="21"/>
        </w:rPr>
        <w:t xml:space="preserve"> </w:t>
      </w:r>
      <w:r w:rsidRPr="00E57AD9">
        <w:rPr>
          <w:rFonts w:ascii="Segoe UI Emoji" w:eastAsia="Segoe UI Emoji" w:hAnsi="Segoe UI Emoji" w:cs="Segoe UI Emoji"/>
          <w:sz w:val="21"/>
          <w:szCs w:val="21"/>
        </w:rPr>
        <w:t xml:space="preserve">and </w:t>
      </w:r>
      <w:r w:rsidRPr="00E57AD9">
        <w:rPr>
          <w:b/>
          <w:noProof/>
          <w:sz w:val="21"/>
          <w:szCs w:val="21"/>
        </w:rPr>
        <w:t>LC</w:t>
      </w:r>
      <w:r w:rsidRPr="00E57AD9">
        <w:rPr>
          <w:b/>
          <w:noProof/>
          <w:position w:val="4"/>
          <w:szCs w:val="21"/>
        </w:rPr>
        <w:t>:PFC</w:t>
      </w:r>
      <w:r w:rsidRPr="00E57AD9">
        <w:rPr>
          <w:noProof/>
          <w:sz w:val="21"/>
          <w:szCs w:val="21"/>
        </w:rPr>
        <w:t xml:space="preserve"> </w:t>
      </w:r>
      <w:r w:rsidRPr="00E57AD9">
        <w:rPr>
          <w:rFonts w:ascii="Segoe UI Emoji" w:eastAsia="Segoe UI Emoji" w:hAnsi="Segoe UI Emoji" w:cs="Segoe UI Emoji"/>
          <w:sz w:val="21"/>
          <w:szCs w:val="21"/>
        </w:rPr>
        <w:t xml:space="preserve">groups. </w:t>
      </w:r>
      <w:r w:rsidRPr="00E57AD9">
        <w:rPr>
          <w:sz w:val="21"/>
          <w:szCs w:val="21"/>
        </w:rPr>
        <w:t xml:space="preserve">Chemogenetic activation of </w:t>
      </w:r>
      <w:r w:rsidRPr="00E57AD9">
        <w:rPr>
          <w:b/>
          <w:noProof/>
          <w:sz w:val="21"/>
          <w:szCs w:val="21"/>
        </w:rPr>
        <w:t>LC</w:t>
      </w:r>
      <w:r w:rsidRPr="00E57AD9">
        <w:rPr>
          <w:b/>
          <w:noProof/>
          <w:position w:val="4"/>
          <w:szCs w:val="21"/>
        </w:rPr>
        <w:t>:PFC</w:t>
      </w:r>
      <w:r w:rsidRPr="00E57AD9">
        <w:rPr>
          <w:noProof/>
          <w:sz w:val="21"/>
          <w:szCs w:val="21"/>
        </w:rPr>
        <w:t xml:space="preserve"> reduced the time </w:t>
      </w:r>
      <w:r w:rsidRPr="00E57AD9">
        <w:rPr>
          <w:sz w:val="21"/>
          <w:szCs w:val="21"/>
        </w:rPr>
        <w:t xml:space="preserve">spent in the centre of the arena and increased immobility but PSEM308 had no effect on </w:t>
      </w:r>
      <w:r w:rsidRPr="00E57AD9">
        <w:rPr>
          <w:b/>
          <w:noProof/>
          <w:sz w:val="21"/>
          <w:szCs w:val="21"/>
        </w:rPr>
        <w:t>LC</w:t>
      </w:r>
      <w:r w:rsidRPr="00E57AD9">
        <w:rPr>
          <w:b/>
          <w:noProof/>
          <w:position w:val="4"/>
          <w:szCs w:val="21"/>
        </w:rPr>
        <w:t>:SC</w:t>
      </w:r>
      <w:r w:rsidRPr="00E57AD9">
        <w:rPr>
          <w:noProof/>
          <w:sz w:val="21"/>
          <w:szCs w:val="21"/>
        </w:rPr>
        <w:t xml:space="preserve"> </w:t>
      </w:r>
      <w:r w:rsidRPr="00E57AD9">
        <w:rPr>
          <w:sz w:val="21"/>
          <w:szCs w:val="21"/>
        </w:rPr>
        <w:t>transduced rats or sham rats (2-way repeated measures ANOVA with Bonferroni’s multiple comparison PSEM308 vs saline, * P&lt;0.05).</w:t>
      </w:r>
      <w:r w:rsidRPr="00E57AD9">
        <w:rPr>
          <w:sz w:val="21"/>
          <w:szCs w:val="21"/>
        </w:rPr>
        <w:br/>
        <w:t>(C) Co-application of reboxetine (1 mg/kg) and PSEM308 (10 mg/kg) in</w:t>
      </w:r>
      <w:r w:rsidRPr="00E57AD9">
        <w:rPr>
          <w:b/>
          <w:sz w:val="21"/>
          <w:szCs w:val="21"/>
        </w:rPr>
        <w:t xml:space="preserve"> LC</w:t>
      </w:r>
      <w:r w:rsidRPr="00E57AD9">
        <w:rPr>
          <w:b/>
          <w:position w:val="4"/>
          <w:szCs w:val="21"/>
        </w:rPr>
        <w:t>:PFC</w:t>
      </w:r>
      <w:r w:rsidRPr="00E57AD9">
        <w:rPr>
          <w:sz w:val="21"/>
          <w:szCs w:val="21"/>
        </w:rPr>
        <w:t xml:space="preserve"> rats increased immobility time, decreased the distance travelled and decreased the time spent in the centre of the arena as compared to reboxetine alone. </w:t>
      </w:r>
      <w:r w:rsidRPr="00E57AD9">
        <w:rPr>
          <w:sz w:val="21"/>
          <w:szCs w:val="21"/>
        </w:rPr>
        <w:br/>
        <w:t>Co-application of reboxetine and PSEM308 (10 mg/kg) also increased immobility as compared to PSEM308 alone (paired t-test PSEM308 vs PSEM308 + Reboxetine, + P&lt;0.05).</w:t>
      </w:r>
    </w:p>
    <w:p w:rsidR="002921AC" w:rsidRDefault="002921AC"/>
    <w:sectPr w:rsidR="002921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Emoji">
    <w:altName w:val="Segoe UI Emoji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A83"/>
    <w:rsid w:val="00006A9D"/>
    <w:rsid w:val="001C2A83"/>
    <w:rsid w:val="002921AC"/>
    <w:rsid w:val="00514323"/>
    <w:rsid w:val="00B40486"/>
    <w:rsid w:val="00C61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ECD5F"/>
  <w15:chartTrackingRefBased/>
  <w15:docId w15:val="{BF7388AF-22F8-4FB7-9C85-964C75F84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2A83"/>
    <w:pPr>
      <w:spacing w:before="120" w:after="320" w:line="36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1C2A83"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835</Characters>
  <Application>Microsoft Office Word</Application>
  <DocSecurity>0</DocSecurity>
  <Lines>6</Lines>
  <Paragraphs>1</Paragraphs>
  <ScaleCrop>false</ScaleCrop>
  <Company>University of Bristol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Hirschberg</dc:creator>
  <cp:keywords/>
  <dc:description/>
  <cp:lastModifiedBy>Stefan Hirschberg</cp:lastModifiedBy>
  <cp:revision>2</cp:revision>
  <dcterms:created xsi:type="dcterms:W3CDTF">2017-06-27T09:56:00Z</dcterms:created>
  <dcterms:modified xsi:type="dcterms:W3CDTF">2017-09-20T09:24:00Z</dcterms:modified>
</cp:coreProperties>
</file>