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C5FBF2C" w:rsidR="00877644" w:rsidRPr="00125190" w:rsidRDefault="003708C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power analyses were </w:t>
      </w:r>
      <w:proofErr w:type="gramStart"/>
      <w:r>
        <w:rPr>
          <w:rFonts w:asciiTheme="minorHAnsi" w:hAnsiTheme="minorHAnsi"/>
        </w:rPr>
        <w:t>used</w:t>
      </w:r>
      <w:proofErr w:type="gramEnd"/>
      <w:r>
        <w:rPr>
          <w:rFonts w:asciiTheme="minorHAnsi" w:hAnsiTheme="minorHAnsi"/>
        </w:rPr>
        <w:t xml:space="preserve"> as we had no expectation of the effect sizes before beginning the experiment. However, in the analyses of the data we used FDR corrections and Wilcoxon-signed rank tests to identify statistically significant trends.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824EC46" w:rsidR="00B330BD" w:rsidRPr="00125190" w:rsidRDefault="003708C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reported. Independent experiments were performed for each </w:t>
      </w:r>
      <w:proofErr w:type="spellStart"/>
      <w:r>
        <w:rPr>
          <w:rFonts w:asciiTheme="minorHAnsi" w:hAnsiTheme="minorHAnsi"/>
        </w:rPr>
        <w:t>timepoint</w:t>
      </w:r>
      <w:proofErr w:type="spellEnd"/>
      <w:r>
        <w:rPr>
          <w:rFonts w:asciiTheme="minorHAnsi" w:hAnsiTheme="minorHAnsi"/>
        </w:rPr>
        <w:t>, and a replicate was used at 8 hours. Cells with very high or low amounts of cellular mRNA were excluded as outliers. This is clearly explained, and vertical lines are used in Figure 3B to indicate which points were excluded.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035EAED" w:rsidR="0015519A" w:rsidRPr="00505C51" w:rsidRDefault="003708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are presented as much as possible in the main text, and the full analysis in the form of </w:t>
      </w:r>
      <w:proofErr w:type="spellStart"/>
      <w:r>
        <w:rPr>
          <w:rFonts w:asciiTheme="minorHAnsi" w:hAnsiTheme="minorHAnsi"/>
          <w:sz w:val="22"/>
          <w:szCs w:val="22"/>
        </w:rPr>
        <w:t>Jupyter</w:t>
      </w:r>
      <w:proofErr w:type="spellEnd"/>
      <w:r>
        <w:rPr>
          <w:rFonts w:asciiTheme="minorHAnsi" w:hAnsiTheme="minorHAnsi"/>
          <w:sz w:val="22"/>
          <w:szCs w:val="22"/>
        </w:rPr>
        <w:t xml:space="preserve"> notebooks is included in supplementary files. P-values were calculated using Wilcoxon signed-rank test, and differential expression was computed using a general linear model with FDR corrections.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F826E2D" w:rsidR="00BC3CCE" w:rsidRPr="00505C51" w:rsidRDefault="003708C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to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C3C7797" w:rsidR="00BC3CCE" w:rsidRPr="00505C51" w:rsidRDefault="003708C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supplements with raw data in CSV format are provided when this is appropriate. A supplemental file contains the full </w:t>
      </w:r>
      <w:proofErr w:type="spellStart"/>
      <w:r>
        <w:rPr>
          <w:rFonts w:asciiTheme="minorHAnsi" w:hAnsiTheme="minorHAnsi"/>
          <w:sz w:val="22"/>
          <w:szCs w:val="22"/>
        </w:rPr>
        <w:t>Jupyter</w:t>
      </w:r>
      <w:proofErr w:type="spellEnd"/>
      <w:r>
        <w:rPr>
          <w:rFonts w:asciiTheme="minorHAnsi" w:hAnsiTheme="minorHAnsi"/>
          <w:sz w:val="22"/>
          <w:szCs w:val="22"/>
        </w:rPr>
        <w:t xml:space="preserve"> notebooks with all the analysis code, and another one contains the full cell-gene matrix in Matrix Market format.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708C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708C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DF442-073D-EB45-A880-93B65765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834</Words>
  <Characters>4760</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Jesse Bloom</cp:lastModifiedBy>
  <cp:revision>28</cp:revision>
  <dcterms:created xsi:type="dcterms:W3CDTF">2017-06-13T14:43:00Z</dcterms:created>
  <dcterms:modified xsi:type="dcterms:W3CDTF">2017-10-16T17:22:00Z</dcterms:modified>
</cp:coreProperties>
</file>