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D9C" w:rsidRDefault="00F84AE3" w:rsidP="004970A0">
      <w:pPr>
        <w:rPr>
          <w:b/>
          <w:bCs/>
          <w:lang w:val="en-CA"/>
        </w:rPr>
      </w:pPr>
      <w:bookmarkStart w:id="0" w:name="_GoBack"/>
      <w:bookmarkEnd w:id="0"/>
      <w:r w:rsidRPr="00A73C45">
        <w:rPr>
          <w:b/>
          <w:bCs/>
          <w:lang w:val="en-CA"/>
        </w:rPr>
        <w:t xml:space="preserve">Study Title:  </w:t>
      </w:r>
      <w:r w:rsidR="00960D9C">
        <w:rPr>
          <w:b/>
          <w:bCs/>
          <w:lang w:val="en-CA"/>
        </w:rPr>
        <w:t xml:space="preserve">A pilot phase II randomized controlled double blind trial of </w:t>
      </w:r>
      <w:r w:rsidR="00D85FC1">
        <w:rPr>
          <w:b/>
          <w:bCs/>
          <w:lang w:val="en-CA"/>
        </w:rPr>
        <w:t>81mg</w:t>
      </w:r>
      <w:r w:rsidR="00960D9C">
        <w:rPr>
          <w:b/>
          <w:bCs/>
          <w:lang w:val="en-CA"/>
        </w:rPr>
        <w:t xml:space="preserve"> aspirin </w:t>
      </w:r>
      <w:r w:rsidR="00D85FC1">
        <w:rPr>
          <w:b/>
          <w:bCs/>
          <w:lang w:val="en-CA"/>
        </w:rPr>
        <w:t xml:space="preserve">daily </w:t>
      </w:r>
      <w:r w:rsidR="00960D9C">
        <w:rPr>
          <w:b/>
          <w:bCs/>
          <w:lang w:val="en-CA"/>
        </w:rPr>
        <w:t xml:space="preserve">vs. </w:t>
      </w:r>
      <w:r w:rsidR="00D85FC1">
        <w:rPr>
          <w:b/>
          <w:bCs/>
          <w:lang w:val="en-CA"/>
        </w:rPr>
        <w:t xml:space="preserve">1000 mg </w:t>
      </w:r>
      <w:r w:rsidR="00960D9C">
        <w:rPr>
          <w:b/>
          <w:bCs/>
          <w:lang w:val="en-CA"/>
        </w:rPr>
        <w:t xml:space="preserve">aspirin </w:t>
      </w:r>
      <w:r w:rsidR="00D85FC1">
        <w:rPr>
          <w:b/>
          <w:bCs/>
          <w:lang w:val="en-CA"/>
        </w:rPr>
        <w:t xml:space="preserve">daily </w:t>
      </w:r>
      <w:r w:rsidR="00960D9C">
        <w:rPr>
          <w:b/>
          <w:bCs/>
          <w:lang w:val="en-CA"/>
        </w:rPr>
        <w:t>vs. placebo as adjunctive therapy in HIV negative adults with tuberculous meningitis</w:t>
      </w:r>
    </w:p>
    <w:p w:rsidR="00960D9C" w:rsidRDefault="00960D9C" w:rsidP="004970A0">
      <w:pPr>
        <w:rPr>
          <w:b/>
          <w:bCs/>
          <w:lang w:val="en-CA"/>
        </w:rPr>
      </w:pPr>
      <w:r>
        <w:rPr>
          <w:b/>
          <w:bCs/>
          <w:lang w:val="en-CA"/>
        </w:rPr>
        <w:t xml:space="preserve"> </w:t>
      </w:r>
    </w:p>
    <w:p w:rsidR="00F84AE3" w:rsidRPr="00A73C45" w:rsidRDefault="00960D9C" w:rsidP="004970A0">
      <w:pPr>
        <w:rPr>
          <w:b/>
          <w:bCs/>
          <w:lang w:val="en-CA"/>
        </w:rPr>
      </w:pPr>
      <w:r>
        <w:rPr>
          <w:b/>
          <w:bCs/>
          <w:lang w:val="en-CA"/>
        </w:rPr>
        <w:t xml:space="preserve">Short Title: </w:t>
      </w:r>
      <w:r w:rsidR="003D449A" w:rsidRPr="00A73C45">
        <w:rPr>
          <w:b/>
          <w:bCs/>
          <w:lang w:val="en-CA"/>
        </w:rPr>
        <w:t xml:space="preserve">A pilot study of adjunctive aspirin for the treatment of </w:t>
      </w:r>
      <w:r w:rsidR="00EC46CE">
        <w:rPr>
          <w:b/>
          <w:bCs/>
          <w:lang w:val="en-CA"/>
        </w:rPr>
        <w:t xml:space="preserve">HIV negative </w:t>
      </w:r>
      <w:r w:rsidR="003D449A" w:rsidRPr="00A73C45">
        <w:rPr>
          <w:b/>
          <w:bCs/>
          <w:lang w:val="en-CA"/>
        </w:rPr>
        <w:t>adults with tuberculous meningitis</w:t>
      </w:r>
    </w:p>
    <w:p w:rsidR="003D449A" w:rsidRPr="00A73C45" w:rsidRDefault="003D449A" w:rsidP="004970A0">
      <w:pPr>
        <w:rPr>
          <w:b/>
          <w:bCs/>
          <w:lang w:val="en-CA"/>
        </w:rPr>
      </w:pPr>
    </w:p>
    <w:p w:rsidR="002718C2" w:rsidRPr="00A73C45" w:rsidRDefault="002718C2" w:rsidP="00BA329F">
      <w:pPr>
        <w:jc w:val="left"/>
        <w:rPr>
          <w:b/>
          <w:lang w:val="en-CA"/>
        </w:rPr>
      </w:pPr>
      <w:r w:rsidRPr="00A73C45">
        <w:rPr>
          <w:b/>
          <w:lang w:val="en-CA"/>
        </w:rPr>
        <w:t xml:space="preserve">Principal Investigators: </w:t>
      </w:r>
    </w:p>
    <w:p w:rsidR="002718C2" w:rsidRPr="00A73C45" w:rsidRDefault="003A4A48" w:rsidP="00BA329F">
      <w:pPr>
        <w:jc w:val="left"/>
        <w:rPr>
          <w:lang w:val="en-CA"/>
        </w:rPr>
      </w:pPr>
      <w:r w:rsidRPr="00A73C45">
        <w:rPr>
          <w:lang w:val="en-CA"/>
        </w:rPr>
        <w:t>Dr</w:t>
      </w:r>
      <w:r w:rsidR="002718C2" w:rsidRPr="00A73C45">
        <w:rPr>
          <w:lang w:val="en-CA"/>
        </w:rPr>
        <w:t xml:space="preserve"> Nguyen Hoan</w:t>
      </w:r>
      <w:r w:rsidR="0096150C" w:rsidRPr="00A73C45">
        <w:rPr>
          <w:lang w:val="en-CA"/>
        </w:rPr>
        <w:t xml:space="preserve"> </w:t>
      </w:r>
      <w:r w:rsidR="002718C2" w:rsidRPr="00A73C45">
        <w:rPr>
          <w:lang w:val="en-CA"/>
        </w:rPr>
        <w:t>Phu</w:t>
      </w:r>
      <w:r w:rsidR="0096150C" w:rsidRPr="00A73C45">
        <w:rPr>
          <w:lang w:val="en-CA"/>
        </w:rPr>
        <w:t>,</w:t>
      </w:r>
      <w:r w:rsidR="002718C2" w:rsidRPr="00A73C45">
        <w:rPr>
          <w:lang w:val="en-CA"/>
        </w:rPr>
        <w:t xml:space="preserve"> Hospital for Tropical Diseases</w:t>
      </w:r>
      <w:r w:rsidR="00797CCD" w:rsidRPr="00A73C45">
        <w:rPr>
          <w:lang w:val="en-CA"/>
        </w:rPr>
        <w:t>, Viet Nam</w:t>
      </w:r>
    </w:p>
    <w:p w:rsidR="002718C2" w:rsidRPr="00A73C45" w:rsidRDefault="003A4A48" w:rsidP="00BA329F">
      <w:pPr>
        <w:jc w:val="left"/>
        <w:rPr>
          <w:lang w:val="en-CA"/>
        </w:rPr>
      </w:pPr>
      <w:r w:rsidRPr="00A73C45">
        <w:rPr>
          <w:lang w:val="en-CA"/>
        </w:rPr>
        <w:t>Dr</w:t>
      </w:r>
      <w:r w:rsidR="0096150C" w:rsidRPr="00A73C45">
        <w:rPr>
          <w:lang w:val="en-CA"/>
        </w:rPr>
        <w:t xml:space="preserve"> Guy Thwaites, </w:t>
      </w:r>
      <w:r w:rsidR="002718C2" w:rsidRPr="00A73C45">
        <w:rPr>
          <w:lang w:val="en-CA"/>
        </w:rPr>
        <w:t>Oxford University Clinical Research Unit</w:t>
      </w:r>
      <w:r w:rsidR="00797CCD" w:rsidRPr="00A73C45">
        <w:rPr>
          <w:lang w:val="en-CA"/>
        </w:rPr>
        <w:t>, Viet Nam</w:t>
      </w:r>
    </w:p>
    <w:p w:rsidR="002718C2" w:rsidRPr="00A73C45" w:rsidRDefault="002718C2" w:rsidP="00BA329F">
      <w:pPr>
        <w:jc w:val="left"/>
        <w:rPr>
          <w:lang w:val="en-CA"/>
        </w:rPr>
      </w:pPr>
    </w:p>
    <w:p w:rsidR="002718C2" w:rsidRPr="00A73C45" w:rsidRDefault="002718C2" w:rsidP="00BA329F">
      <w:pPr>
        <w:jc w:val="left"/>
        <w:rPr>
          <w:b/>
          <w:lang w:val="en-CA"/>
        </w:rPr>
      </w:pPr>
      <w:r w:rsidRPr="00A73C45">
        <w:rPr>
          <w:b/>
          <w:lang w:val="en-CA"/>
        </w:rPr>
        <w:t>Investigators:</w:t>
      </w:r>
    </w:p>
    <w:p w:rsidR="00ED476E" w:rsidRPr="00A73C45" w:rsidRDefault="00ED476E" w:rsidP="00BA329F">
      <w:pPr>
        <w:jc w:val="left"/>
        <w:rPr>
          <w:lang w:val="en-CA"/>
        </w:rPr>
      </w:pPr>
      <w:r w:rsidRPr="00A73C45">
        <w:rPr>
          <w:lang w:val="en-CA"/>
        </w:rPr>
        <w:t xml:space="preserve">Dr </w:t>
      </w:r>
      <w:r w:rsidR="0096150C" w:rsidRPr="00A73C45">
        <w:rPr>
          <w:lang w:val="en-CA"/>
        </w:rPr>
        <w:t xml:space="preserve">Nguyen Thi Hoang </w:t>
      </w:r>
      <w:r w:rsidRPr="00A73C45">
        <w:rPr>
          <w:lang w:val="en-CA"/>
        </w:rPr>
        <w:t>Mai</w:t>
      </w:r>
      <w:r w:rsidR="0096150C" w:rsidRPr="00A73C45">
        <w:rPr>
          <w:lang w:val="en-CA"/>
        </w:rPr>
        <w:t xml:space="preserve">, </w:t>
      </w:r>
      <w:r w:rsidR="00E06A96" w:rsidRPr="00A73C45">
        <w:rPr>
          <w:lang w:val="en-CA"/>
        </w:rPr>
        <w:t>Oxford University Clinical Research Unit</w:t>
      </w:r>
      <w:r w:rsidR="00797CCD" w:rsidRPr="00A73C45">
        <w:rPr>
          <w:lang w:val="en-CA"/>
        </w:rPr>
        <w:t>, Viet Nam</w:t>
      </w:r>
      <w:r w:rsidR="00797CCD" w:rsidRPr="00A73C45" w:rsidDel="00D55482">
        <w:rPr>
          <w:lang w:val="en-CA"/>
        </w:rPr>
        <w:t xml:space="preserve"> </w:t>
      </w:r>
    </w:p>
    <w:p w:rsidR="00BA329F" w:rsidRPr="00A73C45" w:rsidRDefault="00ED476E" w:rsidP="00BA329F">
      <w:pPr>
        <w:jc w:val="left"/>
        <w:rPr>
          <w:lang w:val="en-CA"/>
        </w:rPr>
      </w:pPr>
      <w:r w:rsidRPr="00A73C45">
        <w:rPr>
          <w:lang w:val="en-CA"/>
        </w:rPr>
        <w:t xml:space="preserve">Dr </w:t>
      </w:r>
      <w:r w:rsidR="00BA329F" w:rsidRPr="00A73C45">
        <w:rPr>
          <w:lang w:val="en-CA"/>
        </w:rPr>
        <w:t>Doortje</w:t>
      </w:r>
      <w:r w:rsidR="0096150C" w:rsidRPr="00A73C45">
        <w:rPr>
          <w:lang w:val="en-CA"/>
        </w:rPr>
        <w:t xml:space="preserve"> Heemskerk, Oxford University Clinical Research Unit</w:t>
      </w:r>
      <w:r w:rsidR="00D55482" w:rsidRPr="00A73C45">
        <w:rPr>
          <w:lang w:val="en-CA"/>
        </w:rPr>
        <w:t>, Viet Nam</w:t>
      </w:r>
    </w:p>
    <w:p w:rsidR="003C236F" w:rsidRPr="00A73C45" w:rsidRDefault="0096150C" w:rsidP="00BA329F">
      <w:pPr>
        <w:jc w:val="left"/>
        <w:rPr>
          <w:lang w:val="en-CA"/>
        </w:rPr>
      </w:pPr>
      <w:r w:rsidRPr="00A73C45">
        <w:rPr>
          <w:lang w:val="en-CA"/>
        </w:rPr>
        <w:t>Dr</w:t>
      </w:r>
      <w:r w:rsidR="00B25B18" w:rsidRPr="00A73C45">
        <w:rPr>
          <w:lang w:val="en-CA"/>
        </w:rPr>
        <w:t xml:space="preserve"> </w:t>
      </w:r>
      <w:r w:rsidRPr="00A73C45">
        <w:rPr>
          <w:lang w:val="en-CA"/>
        </w:rPr>
        <w:t xml:space="preserve">Tran Thi Van </w:t>
      </w:r>
      <w:r w:rsidR="00B25B18" w:rsidRPr="00A73C45">
        <w:rPr>
          <w:lang w:val="en-CA"/>
        </w:rPr>
        <w:t>Thinh</w:t>
      </w:r>
      <w:r w:rsidRPr="00A73C45">
        <w:rPr>
          <w:lang w:val="en-CA"/>
        </w:rPr>
        <w:t>, Oxford University Clinical Research Unit</w:t>
      </w:r>
      <w:r w:rsidR="00D55482" w:rsidRPr="00A73C45">
        <w:rPr>
          <w:lang w:val="en-CA"/>
        </w:rPr>
        <w:t>, Viet Nam</w:t>
      </w:r>
    </w:p>
    <w:p w:rsidR="00602EE0" w:rsidRDefault="00602EE0" w:rsidP="00BA329F">
      <w:pPr>
        <w:jc w:val="left"/>
        <w:rPr>
          <w:lang w:val="en-CA"/>
        </w:rPr>
      </w:pPr>
      <w:r w:rsidRPr="00A73C45">
        <w:rPr>
          <w:lang w:val="en-CA"/>
        </w:rPr>
        <w:t xml:space="preserve">Dr </w:t>
      </w:r>
      <w:r w:rsidR="0096150C" w:rsidRPr="00A73C45">
        <w:rPr>
          <w:lang w:val="en-CA"/>
        </w:rPr>
        <w:t>Nguyen Th</w:t>
      </w:r>
      <w:r w:rsidR="00F50B81">
        <w:rPr>
          <w:lang w:val="en-CA"/>
        </w:rPr>
        <w:t>uy</w:t>
      </w:r>
      <w:r w:rsidR="0096150C" w:rsidRPr="00A73C45">
        <w:rPr>
          <w:lang w:val="en-CA"/>
        </w:rPr>
        <w:t xml:space="preserve"> </w:t>
      </w:r>
      <w:r w:rsidRPr="00A73C45">
        <w:rPr>
          <w:lang w:val="en-CA"/>
        </w:rPr>
        <w:t>Thuong</w:t>
      </w:r>
      <w:r w:rsidR="00EC46CE">
        <w:rPr>
          <w:lang w:val="en-CA"/>
        </w:rPr>
        <w:t xml:space="preserve"> Thuong</w:t>
      </w:r>
      <w:r w:rsidR="0096150C" w:rsidRPr="00A73C45">
        <w:rPr>
          <w:lang w:val="en-CA"/>
        </w:rPr>
        <w:t>, Oxford University Clinical Research Unit</w:t>
      </w:r>
      <w:r w:rsidR="00D55482" w:rsidRPr="00A73C45">
        <w:rPr>
          <w:lang w:val="en-CA"/>
        </w:rPr>
        <w:t>, Viet Nam</w:t>
      </w:r>
    </w:p>
    <w:p w:rsidR="003708D1" w:rsidRDefault="003708D1" w:rsidP="00BA329F">
      <w:pPr>
        <w:jc w:val="left"/>
        <w:rPr>
          <w:lang w:val="en-CA"/>
        </w:rPr>
      </w:pPr>
      <w:r>
        <w:rPr>
          <w:lang w:val="en-CA"/>
        </w:rPr>
        <w:t xml:space="preserve">Dr Marcel Wolbers, </w:t>
      </w:r>
      <w:r w:rsidRPr="00A73C45">
        <w:rPr>
          <w:lang w:val="en-CA"/>
        </w:rPr>
        <w:t>Oxford University Clinical Research Unit, Viet Nam</w:t>
      </w:r>
    </w:p>
    <w:p w:rsidR="00E06A96" w:rsidRDefault="00E06A96" w:rsidP="00BA329F">
      <w:pPr>
        <w:jc w:val="left"/>
        <w:rPr>
          <w:lang w:val="en-CA"/>
        </w:rPr>
      </w:pPr>
      <w:r>
        <w:rPr>
          <w:lang w:val="en-CA"/>
        </w:rPr>
        <w:t>Dr Ho Dang Trung Nghia, Pham Ngoc Thach Medical School, Viet</w:t>
      </w:r>
      <w:r w:rsidR="0098649B">
        <w:rPr>
          <w:lang w:val="en-CA"/>
        </w:rPr>
        <w:t xml:space="preserve"> N</w:t>
      </w:r>
      <w:r>
        <w:rPr>
          <w:lang w:val="en-CA"/>
        </w:rPr>
        <w:t>am</w:t>
      </w:r>
    </w:p>
    <w:p w:rsidR="00E06A96" w:rsidRDefault="00E06A96" w:rsidP="00BA329F">
      <w:pPr>
        <w:jc w:val="left"/>
        <w:rPr>
          <w:lang w:val="en-CA"/>
        </w:rPr>
      </w:pPr>
      <w:r>
        <w:rPr>
          <w:lang w:val="en-CA"/>
        </w:rPr>
        <w:t>Dr Tran Nguyen Tuyet Xuan, Hospital for Tropical Diseases, Viet</w:t>
      </w:r>
      <w:r w:rsidR="0098649B">
        <w:rPr>
          <w:lang w:val="en-CA"/>
        </w:rPr>
        <w:t xml:space="preserve"> N</w:t>
      </w:r>
      <w:r>
        <w:rPr>
          <w:lang w:val="en-CA"/>
        </w:rPr>
        <w:t>am</w:t>
      </w:r>
    </w:p>
    <w:p w:rsidR="00E06A96" w:rsidRDefault="00E06A96" w:rsidP="00BA329F">
      <w:pPr>
        <w:jc w:val="left"/>
        <w:rPr>
          <w:lang w:val="en-CA"/>
        </w:rPr>
      </w:pPr>
      <w:r>
        <w:rPr>
          <w:lang w:val="en-CA"/>
        </w:rPr>
        <w:t>Dr Tran My Phuong, Hospital for Tropical Diseases, Viet</w:t>
      </w:r>
      <w:r w:rsidR="0098649B">
        <w:rPr>
          <w:lang w:val="en-CA"/>
        </w:rPr>
        <w:t xml:space="preserve"> N</w:t>
      </w:r>
      <w:r>
        <w:rPr>
          <w:lang w:val="en-CA"/>
        </w:rPr>
        <w:t>am</w:t>
      </w:r>
    </w:p>
    <w:p w:rsidR="00E06A96" w:rsidRPr="00A73C45" w:rsidRDefault="00E06A96" w:rsidP="00BA329F">
      <w:pPr>
        <w:jc w:val="left"/>
        <w:rPr>
          <w:lang w:val="en-CA"/>
        </w:rPr>
      </w:pPr>
      <w:r>
        <w:rPr>
          <w:lang w:val="en-CA"/>
        </w:rPr>
        <w:t>Dr Pham Phu Loc, Hospital for Tropical Diseases, Viet</w:t>
      </w:r>
      <w:r w:rsidR="0098649B">
        <w:rPr>
          <w:lang w:val="en-CA"/>
        </w:rPr>
        <w:t xml:space="preserve"> N</w:t>
      </w:r>
      <w:r>
        <w:rPr>
          <w:lang w:val="en-CA"/>
        </w:rPr>
        <w:t>am</w:t>
      </w:r>
    </w:p>
    <w:p w:rsidR="002718C2" w:rsidRPr="00A73C45" w:rsidRDefault="002718C2" w:rsidP="00BA329F">
      <w:pPr>
        <w:jc w:val="left"/>
        <w:rPr>
          <w:lang w:val="en-CA"/>
        </w:rPr>
      </w:pPr>
    </w:p>
    <w:p w:rsidR="00F84AE3" w:rsidRPr="00A73C45" w:rsidRDefault="00F84AE3" w:rsidP="00BA329F">
      <w:pPr>
        <w:jc w:val="left"/>
        <w:rPr>
          <w:b/>
          <w:bCs/>
          <w:lang w:val="en-CA"/>
        </w:rPr>
      </w:pPr>
      <w:r w:rsidRPr="00A73C45">
        <w:rPr>
          <w:lang w:val="en-CA"/>
        </w:rPr>
        <w:br w:type="page"/>
      </w:r>
      <w:r w:rsidRPr="00A73C45">
        <w:rPr>
          <w:b/>
          <w:bCs/>
          <w:lang w:val="en-CA"/>
        </w:rPr>
        <w:lastRenderedPageBreak/>
        <w:t>TABLE OF CONTENTS</w:t>
      </w:r>
    </w:p>
    <w:p w:rsidR="007666A8" w:rsidRDefault="00261CB3">
      <w:pPr>
        <w:pStyle w:val="TOC1"/>
        <w:rPr>
          <w:rFonts w:asciiTheme="minorHAnsi" w:eastAsiaTheme="minorEastAsia" w:hAnsiTheme="minorHAnsi" w:cstheme="minorBidi"/>
          <w:noProof/>
          <w:lang w:val="en-US"/>
        </w:rPr>
      </w:pPr>
      <w:r w:rsidRPr="00A73C45">
        <w:rPr>
          <w:rFonts w:cs="Arial"/>
          <w:szCs w:val="26"/>
          <w:u w:val="single"/>
          <w:lang w:val="en-CA"/>
        </w:rPr>
        <w:fldChar w:fldCharType="begin"/>
      </w:r>
      <w:r w:rsidR="00F84AE3" w:rsidRPr="00A73C45">
        <w:rPr>
          <w:rFonts w:cs="Arial"/>
          <w:szCs w:val="26"/>
          <w:u w:val="single"/>
          <w:lang w:val="en-CA"/>
        </w:rPr>
        <w:instrText xml:space="preserve"> TOC \o "1-3" \h \z </w:instrText>
      </w:r>
      <w:r w:rsidRPr="00A73C45">
        <w:rPr>
          <w:rFonts w:cs="Arial"/>
          <w:szCs w:val="26"/>
          <w:u w:val="single"/>
          <w:lang w:val="en-CA"/>
        </w:rPr>
        <w:fldChar w:fldCharType="separate"/>
      </w:r>
      <w:hyperlink w:anchor="_Toc387306471" w:history="1">
        <w:r w:rsidR="007666A8" w:rsidRPr="008D4AA4">
          <w:rPr>
            <w:rStyle w:val="Hyperlink"/>
            <w:noProof/>
            <w:lang w:val="en-CA"/>
          </w:rPr>
          <w:t>1</w:t>
        </w:r>
        <w:r w:rsidR="007666A8">
          <w:rPr>
            <w:rFonts w:asciiTheme="minorHAnsi" w:eastAsiaTheme="minorEastAsia" w:hAnsiTheme="minorHAnsi" w:cstheme="minorBidi"/>
            <w:noProof/>
            <w:lang w:val="en-US"/>
          </w:rPr>
          <w:tab/>
        </w:r>
        <w:r w:rsidR="007666A8" w:rsidRPr="008D4AA4">
          <w:rPr>
            <w:rStyle w:val="Hyperlink"/>
            <w:noProof/>
            <w:lang w:val="en-CA"/>
          </w:rPr>
          <w:t>SYNOPSIS</w:t>
        </w:r>
        <w:r w:rsidR="007666A8">
          <w:rPr>
            <w:noProof/>
            <w:webHidden/>
          </w:rPr>
          <w:tab/>
        </w:r>
        <w:r>
          <w:rPr>
            <w:noProof/>
            <w:webHidden/>
          </w:rPr>
          <w:fldChar w:fldCharType="begin"/>
        </w:r>
        <w:r w:rsidR="007666A8">
          <w:rPr>
            <w:noProof/>
            <w:webHidden/>
          </w:rPr>
          <w:instrText xml:space="preserve"> PAGEREF _Toc387306471 \h </w:instrText>
        </w:r>
        <w:r>
          <w:rPr>
            <w:noProof/>
            <w:webHidden/>
          </w:rPr>
        </w:r>
        <w:r>
          <w:rPr>
            <w:noProof/>
            <w:webHidden/>
          </w:rPr>
          <w:fldChar w:fldCharType="separate"/>
        </w:r>
        <w:r w:rsidR="002A70FB">
          <w:rPr>
            <w:noProof/>
            <w:webHidden/>
          </w:rPr>
          <w:t>4</w:t>
        </w:r>
        <w:r>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472" w:history="1">
        <w:r w:rsidR="007666A8" w:rsidRPr="008D4AA4">
          <w:rPr>
            <w:rStyle w:val="Hyperlink"/>
            <w:noProof/>
            <w:lang w:val="en-CA"/>
          </w:rPr>
          <w:t>2</w:t>
        </w:r>
        <w:r w:rsidR="007666A8">
          <w:rPr>
            <w:rFonts w:asciiTheme="minorHAnsi" w:eastAsiaTheme="minorEastAsia" w:hAnsiTheme="minorHAnsi" w:cstheme="minorBidi"/>
            <w:noProof/>
            <w:lang w:val="en-US"/>
          </w:rPr>
          <w:tab/>
        </w:r>
        <w:r w:rsidR="007666A8" w:rsidRPr="008D4AA4">
          <w:rPr>
            <w:rStyle w:val="Hyperlink"/>
            <w:noProof/>
            <w:lang w:val="en-CA"/>
          </w:rPr>
          <w:t>ABBREVIATIONS</w:t>
        </w:r>
        <w:r w:rsidR="007666A8">
          <w:rPr>
            <w:noProof/>
            <w:webHidden/>
          </w:rPr>
          <w:tab/>
        </w:r>
        <w:r w:rsidR="00261CB3">
          <w:rPr>
            <w:noProof/>
            <w:webHidden/>
          </w:rPr>
          <w:fldChar w:fldCharType="begin"/>
        </w:r>
        <w:r w:rsidR="007666A8">
          <w:rPr>
            <w:noProof/>
            <w:webHidden/>
          </w:rPr>
          <w:instrText xml:space="preserve"> PAGEREF _Toc387306472 \h </w:instrText>
        </w:r>
        <w:r w:rsidR="00261CB3">
          <w:rPr>
            <w:noProof/>
            <w:webHidden/>
          </w:rPr>
        </w:r>
        <w:r w:rsidR="00261CB3">
          <w:rPr>
            <w:noProof/>
            <w:webHidden/>
          </w:rPr>
          <w:fldChar w:fldCharType="separate"/>
        </w:r>
        <w:r w:rsidR="002A70FB">
          <w:rPr>
            <w:noProof/>
            <w:webHidden/>
          </w:rPr>
          <w:t>6</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473" w:history="1">
        <w:r w:rsidR="007666A8" w:rsidRPr="008D4AA4">
          <w:rPr>
            <w:rStyle w:val="Hyperlink"/>
            <w:noProof/>
            <w:lang w:val="en-CA"/>
          </w:rPr>
          <w:t>3</w:t>
        </w:r>
        <w:r w:rsidR="007666A8">
          <w:rPr>
            <w:rFonts w:asciiTheme="minorHAnsi" w:eastAsiaTheme="minorEastAsia" w:hAnsiTheme="minorHAnsi" w:cstheme="minorBidi"/>
            <w:noProof/>
            <w:lang w:val="en-US"/>
          </w:rPr>
          <w:tab/>
        </w:r>
        <w:r w:rsidR="007666A8" w:rsidRPr="008D4AA4">
          <w:rPr>
            <w:rStyle w:val="Hyperlink"/>
            <w:noProof/>
            <w:lang w:val="en-CA"/>
          </w:rPr>
          <w:t>BACKGROUND AND RATIONALE</w:t>
        </w:r>
        <w:r w:rsidR="007666A8">
          <w:rPr>
            <w:noProof/>
            <w:webHidden/>
          </w:rPr>
          <w:tab/>
        </w:r>
        <w:r w:rsidR="00261CB3">
          <w:rPr>
            <w:noProof/>
            <w:webHidden/>
          </w:rPr>
          <w:fldChar w:fldCharType="begin"/>
        </w:r>
        <w:r w:rsidR="007666A8">
          <w:rPr>
            <w:noProof/>
            <w:webHidden/>
          </w:rPr>
          <w:instrText xml:space="preserve"> PAGEREF _Toc387306473 \h </w:instrText>
        </w:r>
        <w:r w:rsidR="00261CB3">
          <w:rPr>
            <w:noProof/>
            <w:webHidden/>
          </w:rPr>
        </w:r>
        <w:r w:rsidR="00261CB3">
          <w:rPr>
            <w:noProof/>
            <w:webHidden/>
          </w:rPr>
          <w:fldChar w:fldCharType="separate"/>
        </w:r>
        <w:r w:rsidR="002A70FB">
          <w:rPr>
            <w:noProof/>
            <w:webHidden/>
          </w:rPr>
          <w:t>7</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474" w:history="1">
        <w:r w:rsidR="007666A8" w:rsidRPr="008D4AA4">
          <w:rPr>
            <w:rStyle w:val="Hyperlink"/>
            <w:noProof/>
            <w:lang w:val="en-CA"/>
          </w:rPr>
          <w:t>4</w:t>
        </w:r>
        <w:r w:rsidR="007666A8">
          <w:rPr>
            <w:rFonts w:asciiTheme="minorHAnsi" w:eastAsiaTheme="minorEastAsia" w:hAnsiTheme="minorHAnsi" w:cstheme="minorBidi"/>
            <w:noProof/>
            <w:lang w:val="en-US"/>
          </w:rPr>
          <w:tab/>
        </w:r>
        <w:r w:rsidR="007666A8" w:rsidRPr="008D4AA4">
          <w:rPr>
            <w:rStyle w:val="Hyperlink"/>
            <w:noProof/>
            <w:lang w:val="en-CA"/>
          </w:rPr>
          <w:t>OBJECTIVES</w:t>
        </w:r>
        <w:r w:rsidR="007666A8">
          <w:rPr>
            <w:noProof/>
            <w:webHidden/>
          </w:rPr>
          <w:tab/>
        </w:r>
        <w:r w:rsidR="00261CB3">
          <w:rPr>
            <w:noProof/>
            <w:webHidden/>
          </w:rPr>
          <w:fldChar w:fldCharType="begin"/>
        </w:r>
        <w:r w:rsidR="007666A8">
          <w:rPr>
            <w:noProof/>
            <w:webHidden/>
          </w:rPr>
          <w:instrText xml:space="preserve"> PAGEREF _Toc387306474 \h </w:instrText>
        </w:r>
        <w:r w:rsidR="00261CB3">
          <w:rPr>
            <w:noProof/>
            <w:webHidden/>
          </w:rPr>
        </w:r>
        <w:r w:rsidR="00261CB3">
          <w:rPr>
            <w:noProof/>
            <w:webHidden/>
          </w:rPr>
          <w:fldChar w:fldCharType="separate"/>
        </w:r>
        <w:r w:rsidR="002A70FB">
          <w:rPr>
            <w:noProof/>
            <w:webHidden/>
          </w:rPr>
          <w:t>11</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75" w:history="1">
        <w:r w:rsidR="007666A8" w:rsidRPr="008D4AA4">
          <w:rPr>
            <w:rStyle w:val="Hyperlink"/>
            <w:noProof/>
            <w:lang w:val="en-CA"/>
          </w:rPr>
          <w:t>4.1</w:t>
        </w:r>
        <w:r w:rsidR="007666A8">
          <w:rPr>
            <w:rFonts w:asciiTheme="minorHAnsi" w:eastAsiaTheme="minorEastAsia" w:hAnsiTheme="minorHAnsi" w:cstheme="minorBidi"/>
            <w:noProof/>
            <w:lang w:val="en-US"/>
          </w:rPr>
          <w:tab/>
        </w:r>
        <w:r w:rsidR="007666A8" w:rsidRPr="008D4AA4">
          <w:rPr>
            <w:rStyle w:val="Hyperlink"/>
            <w:noProof/>
            <w:lang w:val="en-CA"/>
          </w:rPr>
          <w:t>Primary Objective</w:t>
        </w:r>
        <w:r w:rsidR="007666A8">
          <w:rPr>
            <w:noProof/>
            <w:webHidden/>
          </w:rPr>
          <w:tab/>
        </w:r>
        <w:r w:rsidR="00261CB3">
          <w:rPr>
            <w:noProof/>
            <w:webHidden/>
          </w:rPr>
          <w:fldChar w:fldCharType="begin"/>
        </w:r>
        <w:r w:rsidR="007666A8">
          <w:rPr>
            <w:noProof/>
            <w:webHidden/>
          </w:rPr>
          <w:instrText xml:space="preserve"> PAGEREF _Toc387306475 \h </w:instrText>
        </w:r>
        <w:r w:rsidR="00261CB3">
          <w:rPr>
            <w:noProof/>
            <w:webHidden/>
          </w:rPr>
        </w:r>
        <w:r w:rsidR="00261CB3">
          <w:rPr>
            <w:noProof/>
            <w:webHidden/>
          </w:rPr>
          <w:fldChar w:fldCharType="separate"/>
        </w:r>
        <w:r w:rsidR="002A70FB">
          <w:rPr>
            <w:noProof/>
            <w:webHidden/>
          </w:rPr>
          <w:t>11</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76" w:history="1">
        <w:r w:rsidR="007666A8" w:rsidRPr="008D4AA4">
          <w:rPr>
            <w:rStyle w:val="Hyperlink"/>
            <w:noProof/>
            <w:lang w:val="en-CA"/>
          </w:rPr>
          <w:t>4.2</w:t>
        </w:r>
        <w:r w:rsidR="007666A8">
          <w:rPr>
            <w:rFonts w:asciiTheme="minorHAnsi" w:eastAsiaTheme="minorEastAsia" w:hAnsiTheme="minorHAnsi" w:cstheme="minorBidi"/>
            <w:noProof/>
            <w:lang w:val="en-US"/>
          </w:rPr>
          <w:tab/>
        </w:r>
        <w:r w:rsidR="007666A8" w:rsidRPr="008D4AA4">
          <w:rPr>
            <w:rStyle w:val="Hyperlink"/>
            <w:noProof/>
            <w:lang w:val="en-CA"/>
          </w:rPr>
          <w:t>Secondary Objectives</w:t>
        </w:r>
        <w:r w:rsidR="007666A8">
          <w:rPr>
            <w:noProof/>
            <w:webHidden/>
          </w:rPr>
          <w:tab/>
        </w:r>
        <w:r w:rsidR="00261CB3">
          <w:rPr>
            <w:noProof/>
            <w:webHidden/>
          </w:rPr>
          <w:fldChar w:fldCharType="begin"/>
        </w:r>
        <w:r w:rsidR="007666A8">
          <w:rPr>
            <w:noProof/>
            <w:webHidden/>
          </w:rPr>
          <w:instrText xml:space="preserve"> PAGEREF _Toc387306476 \h </w:instrText>
        </w:r>
        <w:r w:rsidR="00261CB3">
          <w:rPr>
            <w:noProof/>
            <w:webHidden/>
          </w:rPr>
        </w:r>
        <w:r w:rsidR="00261CB3">
          <w:rPr>
            <w:noProof/>
            <w:webHidden/>
          </w:rPr>
          <w:fldChar w:fldCharType="separate"/>
        </w:r>
        <w:r w:rsidR="002A70FB">
          <w:rPr>
            <w:noProof/>
            <w:webHidden/>
          </w:rPr>
          <w:t>11</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477" w:history="1">
        <w:r w:rsidR="007666A8" w:rsidRPr="008D4AA4">
          <w:rPr>
            <w:rStyle w:val="Hyperlink"/>
            <w:noProof/>
            <w:lang w:val="en-CA"/>
          </w:rPr>
          <w:t>5</w:t>
        </w:r>
        <w:r w:rsidR="007666A8">
          <w:rPr>
            <w:rFonts w:asciiTheme="minorHAnsi" w:eastAsiaTheme="minorEastAsia" w:hAnsiTheme="minorHAnsi" w:cstheme="minorBidi"/>
            <w:noProof/>
            <w:lang w:val="en-US"/>
          </w:rPr>
          <w:tab/>
        </w:r>
        <w:r w:rsidR="007666A8" w:rsidRPr="008D4AA4">
          <w:rPr>
            <w:rStyle w:val="Hyperlink"/>
            <w:noProof/>
            <w:lang w:val="en-CA"/>
          </w:rPr>
          <w:t>TRIAL DESIGN</w:t>
        </w:r>
        <w:r w:rsidR="007666A8">
          <w:rPr>
            <w:noProof/>
            <w:webHidden/>
          </w:rPr>
          <w:tab/>
        </w:r>
        <w:r w:rsidR="00261CB3">
          <w:rPr>
            <w:noProof/>
            <w:webHidden/>
          </w:rPr>
          <w:fldChar w:fldCharType="begin"/>
        </w:r>
        <w:r w:rsidR="007666A8">
          <w:rPr>
            <w:noProof/>
            <w:webHidden/>
          </w:rPr>
          <w:instrText xml:space="preserve"> PAGEREF _Toc387306477 \h </w:instrText>
        </w:r>
        <w:r w:rsidR="00261CB3">
          <w:rPr>
            <w:noProof/>
            <w:webHidden/>
          </w:rPr>
        </w:r>
        <w:r w:rsidR="00261CB3">
          <w:rPr>
            <w:noProof/>
            <w:webHidden/>
          </w:rPr>
          <w:fldChar w:fldCharType="separate"/>
        </w:r>
        <w:r w:rsidR="002A70FB">
          <w:rPr>
            <w:noProof/>
            <w:webHidden/>
          </w:rPr>
          <w:t>11</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78" w:history="1">
        <w:r w:rsidR="007666A8" w:rsidRPr="008D4AA4">
          <w:rPr>
            <w:rStyle w:val="Hyperlink"/>
            <w:noProof/>
            <w:lang w:val="en-CA"/>
          </w:rPr>
          <w:t>5.1</w:t>
        </w:r>
        <w:r w:rsidR="007666A8">
          <w:rPr>
            <w:rFonts w:asciiTheme="minorHAnsi" w:eastAsiaTheme="minorEastAsia" w:hAnsiTheme="minorHAnsi" w:cstheme="minorBidi"/>
            <w:noProof/>
            <w:lang w:val="en-US"/>
          </w:rPr>
          <w:tab/>
        </w:r>
        <w:r w:rsidR="007666A8" w:rsidRPr="008D4AA4">
          <w:rPr>
            <w:rStyle w:val="Hyperlink"/>
            <w:noProof/>
            <w:lang w:val="en-CA"/>
          </w:rPr>
          <w:t>Summary of Trial Design</w:t>
        </w:r>
        <w:r w:rsidR="007666A8">
          <w:rPr>
            <w:noProof/>
            <w:webHidden/>
          </w:rPr>
          <w:tab/>
        </w:r>
        <w:r w:rsidR="00261CB3">
          <w:rPr>
            <w:noProof/>
            <w:webHidden/>
          </w:rPr>
          <w:fldChar w:fldCharType="begin"/>
        </w:r>
        <w:r w:rsidR="007666A8">
          <w:rPr>
            <w:noProof/>
            <w:webHidden/>
          </w:rPr>
          <w:instrText xml:space="preserve"> PAGEREF _Toc387306478 \h </w:instrText>
        </w:r>
        <w:r w:rsidR="00261CB3">
          <w:rPr>
            <w:noProof/>
            <w:webHidden/>
          </w:rPr>
        </w:r>
        <w:r w:rsidR="00261CB3">
          <w:rPr>
            <w:noProof/>
            <w:webHidden/>
          </w:rPr>
          <w:fldChar w:fldCharType="separate"/>
        </w:r>
        <w:r w:rsidR="002A70FB">
          <w:rPr>
            <w:noProof/>
            <w:webHidden/>
          </w:rPr>
          <w:t>12</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79" w:history="1">
        <w:r w:rsidR="007666A8" w:rsidRPr="008D4AA4">
          <w:rPr>
            <w:rStyle w:val="Hyperlink"/>
            <w:noProof/>
            <w:lang w:val="en-CA"/>
          </w:rPr>
          <w:t>5.2</w:t>
        </w:r>
        <w:r w:rsidR="007666A8">
          <w:rPr>
            <w:rFonts w:asciiTheme="minorHAnsi" w:eastAsiaTheme="minorEastAsia" w:hAnsiTheme="minorHAnsi" w:cstheme="minorBidi"/>
            <w:noProof/>
            <w:lang w:val="en-US"/>
          </w:rPr>
          <w:tab/>
        </w:r>
        <w:r w:rsidR="007666A8" w:rsidRPr="008D4AA4">
          <w:rPr>
            <w:rStyle w:val="Hyperlink"/>
            <w:noProof/>
            <w:lang w:val="en-CA"/>
          </w:rPr>
          <w:t>Primary and Secondary Endpoints/Outcome Measures</w:t>
        </w:r>
        <w:r w:rsidR="007666A8">
          <w:rPr>
            <w:noProof/>
            <w:webHidden/>
          </w:rPr>
          <w:tab/>
        </w:r>
        <w:r w:rsidR="00261CB3">
          <w:rPr>
            <w:noProof/>
            <w:webHidden/>
          </w:rPr>
          <w:fldChar w:fldCharType="begin"/>
        </w:r>
        <w:r w:rsidR="007666A8">
          <w:rPr>
            <w:noProof/>
            <w:webHidden/>
          </w:rPr>
          <w:instrText xml:space="preserve"> PAGEREF _Toc387306479 \h </w:instrText>
        </w:r>
        <w:r w:rsidR="00261CB3">
          <w:rPr>
            <w:noProof/>
            <w:webHidden/>
          </w:rPr>
        </w:r>
        <w:r w:rsidR="00261CB3">
          <w:rPr>
            <w:noProof/>
            <w:webHidden/>
          </w:rPr>
          <w:fldChar w:fldCharType="separate"/>
        </w:r>
        <w:r w:rsidR="002A70FB">
          <w:rPr>
            <w:noProof/>
            <w:webHidden/>
          </w:rPr>
          <w:t>12</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480" w:history="1">
        <w:r w:rsidR="007666A8" w:rsidRPr="008D4AA4">
          <w:rPr>
            <w:rStyle w:val="Hyperlink"/>
            <w:noProof/>
            <w:lang w:val="en-CA"/>
          </w:rPr>
          <w:t>6</w:t>
        </w:r>
        <w:r w:rsidR="007666A8">
          <w:rPr>
            <w:rFonts w:asciiTheme="minorHAnsi" w:eastAsiaTheme="minorEastAsia" w:hAnsiTheme="minorHAnsi" w:cstheme="minorBidi"/>
            <w:noProof/>
            <w:lang w:val="en-US"/>
          </w:rPr>
          <w:tab/>
        </w:r>
        <w:r w:rsidR="007666A8" w:rsidRPr="008D4AA4">
          <w:rPr>
            <w:rStyle w:val="Hyperlink"/>
            <w:noProof/>
            <w:lang w:val="en-CA"/>
          </w:rPr>
          <w:t>Trial Participants</w:t>
        </w:r>
        <w:r w:rsidR="007666A8">
          <w:rPr>
            <w:noProof/>
            <w:webHidden/>
          </w:rPr>
          <w:tab/>
        </w:r>
        <w:r w:rsidR="00261CB3">
          <w:rPr>
            <w:noProof/>
            <w:webHidden/>
          </w:rPr>
          <w:fldChar w:fldCharType="begin"/>
        </w:r>
        <w:r w:rsidR="007666A8">
          <w:rPr>
            <w:noProof/>
            <w:webHidden/>
          </w:rPr>
          <w:instrText xml:space="preserve"> PAGEREF _Toc387306480 \h </w:instrText>
        </w:r>
        <w:r w:rsidR="00261CB3">
          <w:rPr>
            <w:noProof/>
            <w:webHidden/>
          </w:rPr>
        </w:r>
        <w:r w:rsidR="00261CB3">
          <w:rPr>
            <w:noProof/>
            <w:webHidden/>
          </w:rPr>
          <w:fldChar w:fldCharType="separate"/>
        </w:r>
        <w:r w:rsidR="002A70FB">
          <w:rPr>
            <w:noProof/>
            <w:webHidden/>
          </w:rPr>
          <w:t>13</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81" w:history="1">
        <w:r w:rsidR="007666A8" w:rsidRPr="008D4AA4">
          <w:rPr>
            <w:rStyle w:val="Hyperlink"/>
            <w:noProof/>
            <w:lang w:val="en-CA"/>
          </w:rPr>
          <w:t>6.1</w:t>
        </w:r>
        <w:r w:rsidR="007666A8">
          <w:rPr>
            <w:rFonts w:asciiTheme="minorHAnsi" w:eastAsiaTheme="minorEastAsia" w:hAnsiTheme="minorHAnsi" w:cstheme="minorBidi"/>
            <w:noProof/>
            <w:lang w:val="en-US"/>
          </w:rPr>
          <w:tab/>
        </w:r>
        <w:r w:rsidR="007666A8" w:rsidRPr="008D4AA4">
          <w:rPr>
            <w:rStyle w:val="Hyperlink"/>
            <w:noProof/>
            <w:lang w:val="en-CA"/>
          </w:rPr>
          <w:t>Overall Description of Trial Participants</w:t>
        </w:r>
        <w:r w:rsidR="007666A8">
          <w:rPr>
            <w:noProof/>
            <w:webHidden/>
          </w:rPr>
          <w:tab/>
        </w:r>
        <w:r w:rsidR="00261CB3">
          <w:rPr>
            <w:noProof/>
            <w:webHidden/>
          </w:rPr>
          <w:fldChar w:fldCharType="begin"/>
        </w:r>
        <w:r w:rsidR="007666A8">
          <w:rPr>
            <w:noProof/>
            <w:webHidden/>
          </w:rPr>
          <w:instrText xml:space="preserve"> PAGEREF _Toc387306481 \h </w:instrText>
        </w:r>
        <w:r w:rsidR="00261CB3">
          <w:rPr>
            <w:noProof/>
            <w:webHidden/>
          </w:rPr>
        </w:r>
        <w:r w:rsidR="00261CB3">
          <w:rPr>
            <w:noProof/>
            <w:webHidden/>
          </w:rPr>
          <w:fldChar w:fldCharType="separate"/>
        </w:r>
        <w:r w:rsidR="002A70FB">
          <w:rPr>
            <w:noProof/>
            <w:webHidden/>
          </w:rPr>
          <w:t>13</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82" w:history="1">
        <w:r w:rsidR="007666A8" w:rsidRPr="008D4AA4">
          <w:rPr>
            <w:rStyle w:val="Hyperlink"/>
            <w:noProof/>
            <w:lang w:val="en-CA"/>
          </w:rPr>
          <w:t>6.2</w:t>
        </w:r>
        <w:r w:rsidR="007666A8">
          <w:rPr>
            <w:rFonts w:asciiTheme="minorHAnsi" w:eastAsiaTheme="minorEastAsia" w:hAnsiTheme="minorHAnsi" w:cstheme="minorBidi"/>
            <w:noProof/>
            <w:lang w:val="en-US"/>
          </w:rPr>
          <w:tab/>
        </w:r>
        <w:r w:rsidR="007666A8" w:rsidRPr="008D4AA4">
          <w:rPr>
            <w:rStyle w:val="Hyperlink"/>
            <w:noProof/>
            <w:lang w:val="en-CA"/>
          </w:rPr>
          <w:t>Inclusion Criteria</w:t>
        </w:r>
        <w:r w:rsidR="007666A8">
          <w:rPr>
            <w:noProof/>
            <w:webHidden/>
          </w:rPr>
          <w:tab/>
        </w:r>
        <w:r w:rsidR="00261CB3">
          <w:rPr>
            <w:noProof/>
            <w:webHidden/>
          </w:rPr>
          <w:fldChar w:fldCharType="begin"/>
        </w:r>
        <w:r w:rsidR="007666A8">
          <w:rPr>
            <w:noProof/>
            <w:webHidden/>
          </w:rPr>
          <w:instrText xml:space="preserve"> PAGEREF _Toc387306482 \h </w:instrText>
        </w:r>
        <w:r w:rsidR="00261CB3">
          <w:rPr>
            <w:noProof/>
            <w:webHidden/>
          </w:rPr>
        </w:r>
        <w:r w:rsidR="00261CB3">
          <w:rPr>
            <w:noProof/>
            <w:webHidden/>
          </w:rPr>
          <w:fldChar w:fldCharType="separate"/>
        </w:r>
        <w:r w:rsidR="002A70FB">
          <w:rPr>
            <w:noProof/>
            <w:webHidden/>
          </w:rPr>
          <w:t>13</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83" w:history="1">
        <w:r w:rsidR="007666A8" w:rsidRPr="008D4AA4">
          <w:rPr>
            <w:rStyle w:val="Hyperlink"/>
            <w:noProof/>
            <w:lang w:val="en-CA"/>
          </w:rPr>
          <w:t>6.3</w:t>
        </w:r>
        <w:r w:rsidR="007666A8">
          <w:rPr>
            <w:rFonts w:asciiTheme="minorHAnsi" w:eastAsiaTheme="minorEastAsia" w:hAnsiTheme="minorHAnsi" w:cstheme="minorBidi"/>
            <w:noProof/>
            <w:lang w:val="en-US"/>
          </w:rPr>
          <w:tab/>
        </w:r>
        <w:r w:rsidR="007666A8" w:rsidRPr="008D4AA4">
          <w:rPr>
            <w:rStyle w:val="Hyperlink"/>
            <w:noProof/>
            <w:lang w:val="en-CA"/>
          </w:rPr>
          <w:t>Exclusion Criteria</w:t>
        </w:r>
        <w:r w:rsidR="007666A8">
          <w:rPr>
            <w:noProof/>
            <w:webHidden/>
          </w:rPr>
          <w:tab/>
        </w:r>
        <w:r w:rsidR="00261CB3">
          <w:rPr>
            <w:noProof/>
            <w:webHidden/>
          </w:rPr>
          <w:fldChar w:fldCharType="begin"/>
        </w:r>
        <w:r w:rsidR="007666A8">
          <w:rPr>
            <w:noProof/>
            <w:webHidden/>
          </w:rPr>
          <w:instrText xml:space="preserve"> PAGEREF _Toc387306483 \h </w:instrText>
        </w:r>
        <w:r w:rsidR="00261CB3">
          <w:rPr>
            <w:noProof/>
            <w:webHidden/>
          </w:rPr>
        </w:r>
        <w:r w:rsidR="00261CB3">
          <w:rPr>
            <w:noProof/>
            <w:webHidden/>
          </w:rPr>
          <w:fldChar w:fldCharType="separate"/>
        </w:r>
        <w:r w:rsidR="002A70FB">
          <w:rPr>
            <w:noProof/>
            <w:webHidden/>
          </w:rPr>
          <w:t>14</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84" w:history="1">
        <w:r w:rsidR="007666A8" w:rsidRPr="008D4AA4">
          <w:rPr>
            <w:rStyle w:val="Hyperlink"/>
            <w:noProof/>
            <w:lang w:val="en-CA"/>
          </w:rPr>
          <w:t>6.4</w:t>
        </w:r>
        <w:r w:rsidR="007666A8">
          <w:rPr>
            <w:rFonts w:asciiTheme="minorHAnsi" w:eastAsiaTheme="minorEastAsia" w:hAnsiTheme="minorHAnsi" w:cstheme="minorBidi"/>
            <w:noProof/>
            <w:lang w:val="en-US"/>
          </w:rPr>
          <w:tab/>
        </w:r>
        <w:r w:rsidR="007666A8" w:rsidRPr="008D4AA4">
          <w:rPr>
            <w:rStyle w:val="Hyperlink"/>
            <w:noProof/>
            <w:lang w:val="en-CA"/>
          </w:rPr>
          <w:t>Study Procedures</w:t>
        </w:r>
        <w:r w:rsidR="007666A8">
          <w:rPr>
            <w:noProof/>
            <w:webHidden/>
          </w:rPr>
          <w:tab/>
        </w:r>
        <w:r w:rsidR="00261CB3">
          <w:rPr>
            <w:noProof/>
            <w:webHidden/>
          </w:rPr>
          <w:fldChar w:fldCharType="begin"/>
        </w:r>
        <w:r w:rsidR="007666A8">
          <w:rPr>
            <w:noProof/>
            <w:webHidden/>
          </w:rPr>
          <w:instrText xml:space="preserve"> PAGEREF _Toc387306484 \h </w:instrText>
        </w:r>
        <w:r w:rsidR="00261CB3">
          <w:rPr>
            <w:noProof/>
            <w:webHidden/>
          </w:rPr>
        </w:r>
        <w:r w:rsidR="00261CB3">
          <w:rPr>
            <w:noProof/>
            <w:webHidden/>
          </w:rPr>
          <w:fldChar w:fldCharType="separate"/>
        </w:r>
        <w:r w:rsidR="002A70FB">
          <w:rPr>
            <w:noProof/>
            <w:webHidden/>
          </w:rPr>
          <w:t>14</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485" w:history="1">
        <w:r w:rsidR="007666A8" w:rsidRPr="008D4AA4">
          <w:rPr>
            <w:rStyle w:val="Hyperlink"/>
            <w:noProof/>
            <w:lang w:val="en-CA"/>
          </w:rPr>
          <w:t>6.4.1</w:t>
        </w:r>
        <w:r w:rsidR="007666A8">
          <w:rPr>
            <w:rFonts w:asciiTheme="minorHAnsi" w:eastAsiaTheme="minorEastAsia" w:hAnsiTheme="minorHAnsi" w:cstheme="minorBidi"/>
            <w:noProof/>
            <w:lang w:val="en-US"/>
          </w:rPr>
          <w:tab/>
        </w:r>
        <w:r w:rsidR="007666A8" w:rsidRPr="008D4AA4">
          <w:rPr>
            <w:rStyle w:val="Hyperlink"/>
            <w:noProof/>
            <w:lang w:val="en-CA"/>
          </w:rPr>
          <w:t>Identification of Potential Participants</w:t>
        </w:r>
        <w:r w:rsidR="007666A8">
          <w:rPr>
            <w:noProof/>
            <w:webHidden/>
          </w:rPr>
          <w:tab/>
        </w:r>
        <w:r w:rsidR="00261CB3">
          <w:rPr>
            <w:noProof/>
            <w:webHidden/>
          </w:rPr>
          <w:fldChar w:fldCharType="begin"/>
        </w:r>
        <w:r w:rsidR="007666A8">
          <w:rPr>
            <w:noProof/>
            <w:webHidden/>
          </w:rPr>
          <w:instrText xml:space="preserve"> PAGEREF _Toc387306485 \h </w:instrText>
        </w:r>
        <w:r w:rsidR="00261CB3">
          <w:rPr>
            <w:noProof/>
            <w:webHidden/>
          </w:rPr>
        </w:r>
        <w:r w:rsidR="00261CB3">
          <w:rPr>
            <w:noProof/>
            <w:webHidden/>
          </w:rPr>
          <w:fldChar w:fldCharType="separate"/>
        </w:r>
        <w:r w:rsidR="002A70FB">
          <w:rPr>
            <w:noProof/>
            <w:webHidden/>
          </w:rPr>
          <w:t>14</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486" w:history="1">
        <w:r w:rsidR="007666A8" w:rsidRPr="008D4AA4">
          <w:rPr>
            <w:rStyle w:val="Hyperlink"/>
            <w:noProof/>
            <w:lang w:val="en-CA"/>
          </w:rPr>
          <w:t>6.4.2</w:t>
        </w:r>
        <w:r w:rsidR="007666A8">
          <w:rPr>
            <w:rFonts w:asciiTheme="minorHAnsi" w:eastAsiaTheme="minorEastAsia" w:hAnsiTheme="minorHAnsi" w:cstheme="minorBidi"/>
            <w:noProof/>
            <w:lang w:val="en-US"/>
          </w:rPr>
          <w:tab/>
        </w:r>
        <w:r w:rsidR="007666A8" w:rsidRPr="008D4AA4">
          <w:rPr>
            <w:rStyle w:val="Hyperlink"/>
            <w:noProof/>
            <w:lang w:val="en-CA"/>
          </w:rPr>
          <w:t>Informed Consent</w:t>
        </w:r>
        <w:r w:rsidR="007666A8">
          <w:rPr>
            <w:noProof/>
            <w:webHidden/>
          </w:rPr>
          <w:tab/>
        </w:r>
        <w:r w:rsidR="00261CB3">
          <w:rPr>
            <w:noProof/>
            <w:webHidden/>
          </w:rPr>
          <w:fldChar w:fldCharType="begin"/>
        </w:r>
        <w:r w:rsidR="007666A8">
          <w:rPr>
            <w:noProof/>
            <w:webHidden/>
          </w:rPr>
          <w:instrText xml:space="preserve"> PAGEREF _Toc387306486 \h </w:instrText>
        </w:r>
        <w:r w:rsidR="00261CB3">
          <w:rPr>
            <w:noProof/>
            <w:webHidden/>
          </w:rPr>
        </w:r>
        <w:r w:rsidR="00261CB3">
          <w:rPr>
            <w:noProof/>
            <w:webHidden/>
          </w:rPr>
          <w:fldChar w:fldCharType="separate"/>
        </w:r>
        <w:r w:rsidR="002A70FB">
          <w:rPr>
            <w:noProof/>
            <w:webHidden/>
          </w:rPr>
          <w:t>14</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487" w:history="1">
        <w:r w:rsidR="007666A8" w:rsidRPr="008D4AA4">
          <w:rPr>
            <w:rStyle w:val="Hyperlink"/>
            <w:noProof/>
            <w:lang w:val="en-CA"/>
          </w:rPr>
          <w:t>6.4.3</w:t>
        </w:r>
        <w:r w:rsidR="007666A8">
          <w:rPr>
            <w:rFonts w:asciiTheme="minorHAnsi" w:eastAsiaTheme="minorEastAsia" w:hAnsiTheme="minorHAnsi" w:cstheme="minorBidi"/>
            <w:noProof/>
            <w:lang w:val="en-US"/>
          </w:rPr>
          <w:tab/>
        </w:r>
        <w:r w:rsidR="007666A8" w:rsidRPr="008D4AA4">
          <w:rPr>
            <w:rStyle w:val="Hyperlink"/>
            <w:noProof/>
            <w:lang w:val="en-CA"/>
          </w:rPr>
          <w:t>Screening and Eligibility Assessment</w:t>
        </w:r>
        <w:r w:rsidR="007666A8">
          <w:rPr>
            <w:noProof/>
            <w:webHidden/>
          </w:rPr>
          <w:tab/>
        </w:r>
        <w:r w:rsidR="00261CB3">
          <w:rPr>
            <w:noProof/>
            <w:webHidden/>
          </w:rPr>
          <w:fldChar w:fldCharType="begin"/>
        </w:r>
        <w:r w:rsidR="007666A8">
          <w:rPr>
            <w:noProof/>
            <w:webHidden/>
          </w:rPr>
          <w:instrText xml:space="preserve"> PAGEREF _Toc387306487 \h </w:instrText>
        </w:r>
        <w:r w:rsidR="00261CB3">
          <w:rPr>
            <w:noProof/>
            <w:webHidden/>
          </w:rPr>
        </w:r>
        <w:r w:rsidR="00261CB3">
          <w:rPr>
            <w:noProof/>
            <w:webHidden/>
          </w:rPr>
          <w:fldChar w:fldCharType="separate"/>
        </w:r>
        <w:r w:rsidR="002A70FB">
          <w:rPr>
            <w:noProof/>
            <w:webHidden/>
          </w:rPr>
          <w:t>15</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488" w:history="1">
        <w:r w:rsidR="007666A8" w:rsidRPr="008D4AA4">
          <w:rPr>
            <w:rStyle w:val="Hyperlink"/>
            <w:noProof/>
            <w:lang w:val="en-CA"/>
          </w:rPr>
          <w:t>6.4.4</w:t>
        </w:r>
        <w:r w:rsidR="007666A8">
          <w:rPr>
            <w:rFonts w:asciiTheme="minorHAnsi" w:eastAsiaTheme="minorEastAsia" w:hAnsiTheme="minorHAnsi" w:cstheme="minorBidi"/>
            <w:noProof/>
            <w:lang w:val="en-US"/>
          </w:rPr>
          <w:tab/>
        </w:r>
        <w:r w:rsidR="007666A8" w:rsidRPr="008D4AA4">
          <w:rPr>
            <w:rStyle w:val="Hyperlink"/>
            <w:noProof/>
            <w:lang w:val="en-CA"/>
          </w:rPr>
          <w:t>Baseline Assessments</w:t>
        </w:r>
        <w:r w:rsidR="007666A8">
          <w:rPr>
            <w:noProof/>
            <w:webHidden/>
          </w:rPr>
          <w:tab/>
        </w:r>
        <w:r w:rsidR="00261CB3">
          <w:rPr>
            <w:noProof/>
            <w:webHidden/>
          </w:rPr>
          <w:fldChar w:fldCharType="begin"/>
        </w:r>
        <w:r w:rsidR="007666A8">
          <w:rPr>
            <w:noProof/>
            <w:webHidden/>
          </w:rPr>
          <w:instrText xml:space="preserve"> PAGEREF _Toc387306488 \h </w:instrText>
        </w:r>
        <w:r w:rsidR="00261CB3">
          <w:rPr>
            <w:noProof/>
            <w:webHidden/>
          </w:rPr>
        </w:r>
        <w:r w:rsidR="00261CB3">
          <w:rPr>
            <w:noProof/>
            <w:webHidden/>
          </w:rPr>
          <w:fldChar w:fldCharType="separate"/>
        </w:r>
        <w:r w:rsidR="002A70FB">
          <w:rPr>
            <w:noProof/>
            <w:webHidden/>
          </w:rPr>
          <w:t>16</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489" w:history="1">
        <w:r w:rsidR="007666A8" w:rsidRPr="008D4AA4">
          <w:rPr>
            <w:rStyle w:val="Hyperlink"/>
            <w:noProof/>
            <w:lang w:val="en-CA"/>
          </w:rPr>
          <w:t>6.4.5</w:t>
        </w:r>
        <w:r w:rsidR="007666A8">
          <w:rPr>
            <w:rFonts w:asciiTheme="minorHAnsi" w:eastAsiaTheme="minorEastAsia" w:hAnsiTheme="minorHAnsi" w:cstheme="minorBidi"/>
            <w:noProof/>
            <w:lang w:val="en-US"/>
          </w:rPr>
          <w:tab/>
        </w:r>
        <w:r w:rsidR="007666A8" w:rsidRPr="008D4AA4">
          <w:rPr>
            <w:rStyle w:val="Hyperlink"/>
            <w:noProof/>
            <w:lang w:val="en-CA"/>
          </w:rPr>
          <w:t>Randomisation and Dosing</w:t>
        </w:r>
        <w:r w:rsidR="007666A8">
          <w:rPr>
            <w:noProof/>
            <w:webHidden/>
          </w:rPr>
          <w:tab/>
        </w:r>
        <w:r w:rsidR="00261CB3">
          <w:rPr>
            <w:noProof/>
            <w:webHidden/>
          </w:rPr>
          <w:fldChar w:fldCharType="begin"/>
        </w:r>
        <w:r w:rsidR="007666A8">
          <w:rPr>
            <w:noProof/>
            <w:webHidden/>
          </w:rPr>
          <w:instrText xml:space="preserve"> PAGEREF _Toc387306489 \h </w:instrText>
        </w:r>
        <w:r w:rsidR="00261CB3">
          <w:rPr>
            <w:noProof/>
            <w:webHidden/>
          </w:rPr>
        </w:r>
        <w:r w:rsidR="00261CB3">
          <w:rPr>
            <w:noProof/>
            <w:webHidden/>
          </w:rPr>
          <w:fldChar w:fldCharType="separate"/>
        </w:r>
        <w:r w:rsidR="002A70FB">
          <w:rPr>
            <w:noProof/>
            <w:webHidden/>
          </w:rPr>
          <w:t>16</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490" w:history="1">
        <w:r w:rsidR="007666A8" w:rsidRPr="008D4AA4">
          <w:rPr>
            <w:rStyle w:val="Hyperlink"/>
            <w:noProof/>
            <w:lang w:val="en-CA"/>
          </w:rPr>
          <w:t>6.4.6</w:t>
        </w:r>
        <w:r w:rsidR="007666A8">
          <w:rPr>
            <w:rFonts w:asciiTheme="minorHAnsi" w:eastAsiaTheme="minorEastAsia" w:hAnsiTheme="minorHAnsi" w:cstheme="minorBidi"/>
            <w:noProof/>
            <w:lang w:val="en-US"/>
          </w:rPr>
          <w:tab/>
        </w:r>
        <w:r w:rsidR="007666A8" w:rsidRPr="008D4AA4">
          <w:rPr>
            <w:rStyle w:val="Hyperlink"/>
            <w:noProof/>
            <w:lang w:val="en-CA"/>
          </w:rPr>
          <w:t>Subsequent Assessments</w:t>
        </w:r>
        <w:r w:rsidR="007666A8">
          <w:rPr>
            <w:noProof/>
            <w:webHidden/>
          </w:rPr>
          <w:tab/>
        </w:r>
        <w:r w:rsidR="00261CB3">
          <w:rPr>
            <w:noProof/>
            <w:webHidden/>
          </w:rPr>
          <w:fldChar w:fldCharType="begin"/>
        </w:r>
        <w:r w:rsidR="007666A8">
          <w:rPr>
            <w:noProof/>
            <w:webHidden/>
          </w:rPr>
          <w:instrText xml:space="preserve"> PAGEREF _Toc387306490 \h </w:instrText>
        </w:r>
        <w:r w:rsidR="00261CB3">
          <w:rPr>
            <w:noProof/>
            <w:webHidden/>
          </w:rPr>
        </w:r>
        <w:r w:rsidR="00261CB3">
          <w:rPr>
            <w:noProof/>
            <w:webHidden/>
          </w:rPr>
          <w:fldChar w:fldCharType="separate"/>
        </w:r>
        <w:r w:rsidR="002A70FB">
          <w:rPr>
            <w:noProof/>
            <w:webHidden/>
          </w:rPr>
          <w:t>16</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1" w:history="1">
        <w:r w:rsidR="007666A8" w:rsidRPr="008D4AA4">
          <w:rPr>
            <w:rStyle w:val="Hyperlink"/>
            <w:noProof/>
            <w:lang w:val="en-CA"/>
          </w:rPr>
          <w:t>6.5</w:t>
        </w:r>
        <w:r w:rsidR="007666A8">
          <w:rPr>
            <w:rFonts w:asciiTheme="minorHAnsi" w:eastAsiaTheme="minorEastAsia" w:hAnsiTheme="minorHAnsi" w:cstheme="minorBidi"/>
            <w:noProof/>
            <w:lang w:val="en-US"/>
          </w:rPr>
          <w:tab/>
        </w:r>
        <w:r w:rsidR="007666A8" w:rsidRPr="008D4AA4">
          <w:rPr>
            <w:rStyle w:val="Hyperlink"/>
            <w:noProof/>
            <w:lang w:val="en-CA"/>
          </w:rPr>
          <w:t>Discontinuation of Treatment and Participation</w:t>
        </w:r>
        <w:r w:rsidR="007666A8">
          <w:rPr>
            <w:noProof/>
            <w:webHidden/>
          </w:rPr>
          <w:tab/>
        </w:r>
        <w:r w:rsidR="00261CB3">
          <w:rPr>
            <w:noProof/>
            <w:webHidden/>
          </w:rPr>
          <w:fldChar w:fldCharType="begin"/>
        </w:r>
        <w:r w:rsidR="007666A8">
          <w:rPr>
            <w:noProof/>
            <w:webHidden/>
          </w:rPr>
          <w:instrText xml:space="preserve"> PAGEREF _Toc387306491 \h </w:instrText>
        </w:r>
        <w:r w:rsidR="00261CB3">
          <w:rPr>
            <w:noProof/>
            <w:webHidden/>
          </w:rPr>
        </w:r>
        <w:r w:rsidR="00261CB3">
          <w:rPr>
            <w:noProof/>
            <w:webHidden/>
          </w:rPr>
          <w:fldChar w:fldCharType="separate"/>
        </w:r>
        <w:r w:rsidR="002A70FB">
          <w:rPr>
            <w:noProof/>
            <w:webHidden/>
          </w:rPr>
          <w:t>17</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492" w:history="1">
        <w:r w:rsidR="007666A8" w:rsidRPr="008D4AA4">
          <w:rPr>
            <w:rStyle w:val="Hyperlink"/>
            <w:noProof/>
            <w:lang w:val="en-CA"/>
          </w:rPr>
          <w:t>7</w:t>
        </w:r>
        <w:r w:rsidR="007666A8">
          <w:rPr>
            <w:rFonts w:asciiTheme="minorHAnsi" w:eastAsiaTheme="minorEastAsia" w:hAnsiTheme="minorHAnsi" w:cstheme="minorBidi"/>
            <w:noProof/>
            <w:lang w:val="en-US"/>
          </w:rPr>
          <w:tab/>
        </w:r>
        <w:r w:rsidR="007666A8" w:rsidRPr="008D4AA4">
          <w:rPr>
            <w:rStyle w:val="Hyperlink"/>
            <w:noProof/>
            <w:lang w:val="en-CA"/>
          </w:rPr>
          <w:t>STUDY TREATMENT</w:t>
        </w:r>
        <w:r w:rsidR="007666A8">
          <w:rPr>
            <w:noProof/>
            <w:webHidden/>
          </w:rPr>
          <w:tab/>
        </w:r>
        <w:r w:rsidR="00261CB3">
          <w:rPr>
            <w:noProof/>
            <w:webHidden/>
          </w:rPr>
          <w:fldChar w:fldCharType="begin"/>
        </w:r>
        <w:r w:rsidR="007666A8">
          <w:rPr>
            <w:noProof/>
            <w:webHidden/>
          </w:rPr>
          <w:instrText xml:space="preserve"> PAGEREF _Toc387306492 \h </w:instrText>
        </w:r>
        <w:r w:rsidR="00261CB3">
          <w:rPr>
            <w:noProof/>
            <w:webHidden/>
          </w:rPr>
        </w:r>
        <w:r w:rsidR="00261CB3">
          <w:rPr>
            <w:noProof/>
            <w:webHidden/>
          </w:rPr>
          <w:fldChar w:fldCharType="separate"/>
        </w:r>
        <w:r w:rsidR="002A70FB">
          <w:rPr>
            <w:noProof/>
            <w:webHidden/>
          </w:rPr>
          <w:t>18</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3" w:history="1">
        <w:r w:rsidR="007666A8" w:rsidRPr="008D4AA4">
          <w:rPr>
            <w:rStyle w:val="Hyperlink"/>
            <w:noProof/>
            <w:lang w:val="en-CA"/>
          </w:rPr>
          <w:t>7.1</w:t>
        </w:r>
        <w:r w:rsidR="007666A8">
          <w:rPr>
            <w:rFonts w:asciiTheme="minorHAnsi" w:eastAsiaTheme="minorEastAsia" w:hAnsiTheme="minorHAnsi" w:cstheme="minorBidi"/>
            <w:noProof/>
            <w:lang w:val="en-US"/>
          </w:rPr>
          <w:tab/>
        </w:r>
        <w:r w:rsidR="007666A8" w:rsidRPr="008D4AA4">
          <w:rPr>
            <w:rStyle w:val="Hyperlink"/>
            <w:noProof/>
            <w:lang w:val="en-CA"/>
          </w:rPr>
          <w:t>Description of Study Treatment</w:t>
        </w:r>
        <w:r w:rsidR="007666A8">
          <w:rPr>
            <w:noProof/>
            <w:webHidden/>
          </w:rPr>
          <w:tab/>
        </w:r>
        <w:r w:rsidR="00261CB3">
          <w:rPr>
            <w:noProof/>
            <w:webHidden/>
          </w:rPr>
          <w:fldChar w:fldCharType="begin"/>
        </w:r>
        <w:r w:rsidR="007666A8">
          <w:rPr>
            <w:noProof/>
            <w:webHidden/>
          </w:rPr>
          <w:instrText xml:space="preserve"> PAGEREF _Toc387306493 \h </w:instrText>
        </w:r>
        <w:r w:rsidR="00261CB3">
          <w:rPr>
            <w:noProof/>
            <w:webHidden/>
          </w:rPr>
        </w:r>
        <w:r w:rsidR="00261CB3">
          <w:rPr>
            <w:noProof/>
            <w:webHidden/>
          </w:rPr>
          <w:fldChar w:fldCharType="separate"/>
        </w:r>
        <w:r w:rsidR="002A70FB">
          <w:rPr>
            <w:noProof/>
            <w:webHidden/>
          </w:rPr>
          <w:t>18</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4" w:history="1">
        <w:r w:rsidR="007666A8" w:rsidRPr="008D4AA4">
          <w:rPr>
            <w:rStyle w:val="Hyperlink"/>
            <w:noProof/>
            <w:lang w:val="en-CA"/>
          </w:rPr>
          <w:t>7.2</w:t>
        </w:r>
        <w:r w:rsidR="007666A8">
          <w:rPr>
            <w:rFonts w:asciiTheme="minorHAnsi" w:eastAsiaTheme="minorEastAsia" w:hAnsiTheme="minorHAnsi" w:cstheme="minorBidi"/>
            <w:noProof/>
            <w:lang w:val="en-US"/>
          </w:rPr>
          <w:tab/>
        </w:r>
        <w:r w:rsidR="007666A8" w:rsidRPr="008D4AA4">
          <w:rPr>
            <w:rStyle w:val="Hyperlink"/>
            <w:noProof/>
            <w:lang w:val="en-CA"/>
          </w:rPr>
          <w:t>Storage of Study Treatment</w:t>
        </w:r>
        <w:r w:rsidR="007666A8">
          <w:rPr>
            <w:noProof/>
            <w:webHidden/>
          </w:rPr>
          <w:tab/>
        </w:r>
        <w:r w:rsidR="00261CB3">
          <w:rPr>
            <w:noProof/>
            <w:webHidden/>
          </w:rPr>
          <w:fldChar w:fldCharType="begin"/>
        </w:r>
        <w:r w:rsidR="007666A8">
          <w:rPr>
            <w:noProof/>
            <w:webHidden/>
          </w:rPr>
          <w:instrText xml:space="preserve"> PAGEREF _Toc387306494 \h </w:instrText>
        </w:r>
        <w:r w:rsidR="00261CB3">
          <w:rPr>
            <w:noProof/>
            <w:webHidden/>
          </w:rPr>
        </w:r>
        <w:r w:rsidR="00261CB3">
          <w:rPr>
            <w:noProof/>
            <w:webHidden/>
          </w:rPr>
          <w:fldChar w:fldCharType="separate"/>
        </w:r>
        <w:r w:rsidR="002A70FB">
          <w:rPr>
            <w:noProof/>
            <w:webHidden/>
          </w:rPr>
          <w:t>19</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5" w:history="1">
        <w:r w:rsidR="007666A8" w:rsidRPr="008D4AA4">
          <w:rPr>
            <w:rStyle w:val="Hyperlink"/>
            <w:noProof/>
            <w:lang w:val="en-CA"/>
          </w:rPr>
          <w:t>7.3</w:t>
        </w:r>
        <w:r w:rsidR="007666A8">
          <w:rPr>
            <w:rFonts w:asciiTheme="minorHAnsi" w:eastAsiaTheme="minorEastAsia" w:hAnsiTheme="minorHAnsi" w:cstheme="minorBidi"/>
            <w:noProof/>
            <w:lang w:val="en-US"/>
          </w:rPr>
          <w:tab/>
        </w:r>
        <w:r w:rsidR="007666A8" w:rsidRPr="008D4AA4">
          <w:rPr>
            <w:rStyle w:val="Hyperlink"/>
            <w:noProof/>
            <w:lang w:val="en-CA"/>
          </w:rPr>
          <w:t>Compliance with Study Treatment</w:t>
        </w:r>
        <w:r w:rsidR="007666A8">
          <w:rPr>
            <w:noProof/>
            <w:webHidden/>
          </w:rPr>
          <w:tab/>
        </w:r>
        <w:r w:rsidR="00261CB3">
          <w:rPr>
            <w:noProof/>
            <w:webHidden/>
          </w:rPr>
          <w:fldChar w:fldCharType="begin"/>
        </w:r>
        <w:r w:rsidR="007666A8">
          <w:rPr>
            <w:noProof/>
            <w:webHidden/>
          </w:rPr>
          <w:instrText xml:space="preserve"> PAGEREF _Toc387306495 \h </w:instrText>
        </w:r>
        <w:r w:rsidR="00261CB3">
          <w:rPr>
            <w:noProof/>
            <w:webHidden/>
          </w:rPr>
        </w:r>
        <w:r w:rsidR="00261CB3">
          <w:rPr>
            <w:noProof/>
            <w:webHidden/>
          </w:rPr>
          <w:fldChar w:fldCharType="separate"/>
        </w:r>
        <w:r w:rsidR="002A70FB">
          <w:rPr>
            <w:noProof/>
            <w:webHidden/>
          </w:rPr>
          <w:t>19</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6" w:history="1">
        <w:r w:rsidR="007666A8" w:rsidRPr="008D4AA4">
          <w:rPr>
            <w:rStyle w:val="Hyperlink"/>
            <w:noProof/>
            <w:lang w:val="en-CA"/>
          </w:rPr>
          <w:t>7.4</w:t>
        </w:r>
        <w:r w:rsidR="007666A8">
          <w:rPr>
            <w:rFonts w:asciiTheme="minorHAnsi" w:eastAsiaTheme="minorEastAsia" w:hAnsiTheme="minorHAnsi" w:cstheme="minorBidi"/>
            <w:noProof/>
            <w:lang w:val="en-US"/>
          </w:rPr>
          <w:tab/>
        </w:r>
        <w:r w:rsidR="007666A8" w:rsidRPr="008D4AA4">
          <w:rPr>
            <w:rStyle w:val="Hyperlink"/>
            <w:noProof/>
            <w:lang w:val="en-CA"/>
          </w:rPr>
          <w:t>Accountability of the Study Treatment</w:t>
        </w:r>
        <w:r w:rsidR="007666A8">
          <w:rPr>
            <w:noProof/>
            <w:webHidden/>
          </w:rPr>
          <w:tab/>
        </w:r>
        <w:r w:rsidR="00261CB3">
          <w:rPr>
            <w:noProof/>
            <w:webHidden/>
          </w:rPr>
          <w:fldChar w:fldCharType="begin"/>
        </w:r>
        <w:r w:rsidR="007666A8">
          <w:rPr>
            <w:noProof/>
            <w:webHidden/>
          </w:rPr>
          <w:instrText xml:space="preserve"> PAGEREF _Toc387306496 \h </w:instrText>
        </w:r>
        <w:r w:rsidR="00261CB3">
          <w:rPr>
            <w:noProof/>
            <w:webHidden/>
          </w:rPr>
        </w:r>
        <w:r w:rsidR="00261CB3">
          <w:rPr>
            <w:noProof/>
            <w:webHidden/>
          </w:rPr>
          <w:fldChar w:fldCharType="separate"/>
        </w:r>
        <w:r w:rsidR="002A70FB">
          <w:rPr>
            <w:noProof/>
            <w:webHidden/>
          </w:rPr>
          <w:t>19</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7" w:history="1">
        <w:r w:rsidR="007666A8" w:rsidRPr="008D4AA4">
          <w:rPr>
            <w:rStyle w:val="Hyperlink"/>
            <w:noProof/>
            <w:lang w:val="en-CA"/>
          </w:rPr>
          <w:t>7.5</w:t>
        </w:r>
        <w:r w:rsidR="007666A8">
          <w:rPr>
            <w:rFonts w:asciiTheme="minorHAnsi" w:eastAsiaTheme="minorEastAsia" w:hAnsiTheme="minorHAnsi" w:cstheme="minorBidi"/>
            <w:noProof/>
            <w:lang w:val="en-US"/>
          </w:rPr>
          <w:tab/>
        </w:r>
        <w:r w:rsidR="007666A8" w:rsidRPr="008D4AA4">
          <w:rPr>
            <w:rStyle w:val="Hyperlink"/>
            <w:noProof/>
            <w:lang w:val="en-CA"/>
          </w:rPr>
          <w:t>Prophylaxis</w:t>
        </w:r>
        <w:r w:rsidR="007666A8">
          <w:rPr>
            <w:noProof/>
            <w:webHidden/>
          </w:rPr>
          <w:tab/>
        </w:r>
        <w:r w:rsidR="00261CB3">
          <w:rPr>
            <w:noProof/>
            <w:webHidden/>
          </w:rPr>
          <w:fldChar w:fldCharType="begin"/>
        </w:r>
        <w:r w:rsidR="007666A8">
          <w:rPr>
            <w:noProof/>
            <w:webHidden/>
          </w:rPr>
          <w:instrText xml:space="preserve"> PAGEREF _Toc387306497 \h </w:instrText>
        </w:r>
        <w:r w:rsidR="00261CB3">
          <w:rPr>
            <w:noProof/>
            <w:webHidden/>
          </w:rPr>
        </w:r>
        <w:r w:rsidR="00261CB3">
          <w:rPr>
            <w:noProof/>
            <w:webHidden/>
          </w:rPr>
          <w:fldChar w:fldCharType="separate"/>
        </w:r>
        <w:r w:rsidR="002A70FB">
          <w:rPr>
            <w:noProof/>
            <w:webHidden/>
          </w:rPr>
          <w:t>19</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8" w:history="1">
        <w:r w:rsidR="007666A8" w:rsidRPr="008D4AA4">
          <w:rPr>
            <w:rStyle w:val="Hyperlink"/>
            <w:noProof/>
            <w:lang w:val="en-CA"/>
          </w:rPr>
          <w:t>7.6</w:t>
        </w:r>
        <w:r w:rsidR="007666A8">
          <w:rPr>
            <w:rFonts w:asciiTheme="minorHAnsi" w:eastAsiaTheme="minorEastAsia" w:hAnsiTheme="minorHAnsi" w:cstheme="minorBidi"/>
            <w:noProof/>
            <w:lang w:val="en-US"/>
          </w:rPr>
          <w:tab/>
        </w:r>
        <w:r w:rsidR="007666A8" w:rsidRPr="008D4AA4">
          <w:rPr>
            <w:rStyle w:val="Hyperlink"/>
            <w:noProof/>
            <w:lang w:val="en-CA"/>
          </w:rPr>
          <w:t>Concomitant Medication</w:t>
        </w:r>
        <w:r w:rsidR="007666A8">
          <w:rPr>
            <w:noProof/>
            <w:webHidden/>
          </w:rPr>
          <w:tab/>
        </w:r>
        <w:r w:rsidR="00261CB3">
          <w:rPr>
            <w:noProof/>
            <w:webHidden/>
          </w:rPr>
          <w:fldChar w:fldCharType="begin"/>
        </w:r>
        <w:r w:rsidR="007666A8">
          <w:rPr>
            <w:noProof/>
            <w:webHidden/>
          </w:rPr>
          <w:instrText xml:space="preserve"> PAGEREF _Toc387306498 \h </w:instrText>
        </w:r>
        <w:r w:rsidR="00261CB3">
          <w:rPr>
            <w:noProof/>
            <w:webHidden/>
          </w:rPr>
        </w:r>
        <w:r w:rsidR="00261CB3">
          <w:rPr>
            <w:noProof/>
            <w:webHidden/>
          </w:rPr>
          <w:fldChar w:fldCharType="separate"/>
        </w:r>
        <w:r w:rsidR="002A70FB">
          <w:rPr>
            <w:noProof/>
            <w:webHidden/>
          </w:rPr>
          <w:t>19</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499" w:history="1">
        <w:r w:rsidR="007666A8" w:rsidRPr="008D4AA4">
          <w:rPr>
            <w:rStyle w:val="Hyperlink"/>
            <w:noProof/>
            <w:lang w:val="en-CA"/>
          </w:rPr>
          <w:t>7.7</w:t>
        </w:r>
        <w:r w:rsidR="007666A8">
          <w:rPr>
            <w:rFonts w:asciiTheme="minorHAnsi" w:eastAsiaTheme="minorEastAsia" w:hAnsiTheme="minorHAnsi" w:cstheme="minorBidi"/>
            <w:noProof/>
            <w:lang w:val="en-US"/>
          </w:rPr>
          <w:tab/>
        </w:r>
        <w:r w:rsidR="007666A8" w:rsidRPr="008D4AA4">
          <w:rPr>
            <w:rStyle w:val="Hyperlink"/>
            <w:noProof/>
            <w:lang w:val="en-CA"/>
          </w:rPr>
          <w:t>Unblinding</w:t>
        </w:r>
        <w:r w:rsidR="007666A8">
          <w:rPr>
            <w:noProof/>
            <w:webHidden/>
          </w:rPr>
          <w:tab/>
        </w:r>
        <w:r w:rsidR="00261CB3">
          <w:rPr>
            <w:noProof/>
            <w:webHidden/>
          </w:rPr>
          <w:fldChar w:fldCharType="begin"/>
        </w:r>
        <w:r w:rsidR="007666A8">
          <w:rPr>
            <w:noProof/>
            <w:webHidden/>
          </w:rPr>
          <w:instrText xml:space="preserve"> PAGEREF _Toc387306499 \h </w:instrText>
        </w:r>
        <w:r w:rsidR="00261CB3">
          <w:rPr>
            <w:noProof/>
            <w:webHidden/>
          </w:rPr>
        </w:r>
        <w:r w:rsidR="00261CB3">
          <w:rPr>
            <w:noProof/>
            <w:webHidden/>
          </w:rPr>
          <w:fldChar w:fldCharType="separate"/>
        </w:r>
        <w:r w:rsidR="002A70FB">
          <w:rPr>
            <w:noProof/>
            <w:webHidden/>
          </w:rPr>
          <w:t>20</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0" w:history="1">
        <w:r w:rsidR="007666A8" w:rsidRPr="008D4AA4">
          <w:rPr>
            <w:rStyle w:val="Hyperlink"/>
            <w:noProof/>
            <w:lang w:val="en-CA"/>
          </w:rPr>
          <w:t>7.8</w:t>
        </w:r>
        <w:r w:rsidR="007666A8">
          <w:rPr>
            <w:rFonts w:asciiTheme="minorHAnsi" w:eastAsiaTheme="minorEastAsia" w:hAnsiTheme="minorHAnsi" w:cstheme="minorBidi"/>
            <w:noProof/>
            <w:lang w:val="en-US"/>
          </w:rPr>
          <w:tab/>
        </w:r>
        <w:r w:rsidR="007666A8" w:rsidRPr="008D4AA4">
          <w:rPr>
            <w:rStyle w:val="Hyperlink"/>
            <w:noProof/>
            <w:lang w:val="en-CA"/>
          </w:rPr>
          <w:t>Post-trial Treatment</w:t>
        </w:r>
        <w:r w:rsidR="007666A8">
          <w:rPr>
            <w:noProof/>
            <w:webHidden/>
          </w:rPr>
          <w:tab/>
        </w:r>
        <w:r w:rsidR="00261CB3">
          <w:rPr>
            <w:noProof/>
            <w:webHidden/>
          </w:rPr>
          <w:fldChar w:fldCharType="begin"/>
        </w:r>
        <w:r w:rsidR="007666A8">
          <w:rPr>
            <w:noProof/>
            <w:webHidden/>
          </w:rPr>
          <w:instrText xml:space="preserve"> PAGEREF _Toc387306500 \h </w:instrText>
        </w:r>
        <w:r w:rsidR="00261CB3">
          <w:rPr>
            <w:noProof/>
            <w:webHidden/>
          </w:rPr>
        </w:r>
        <w:r w:rsidR="00261CB3">
          <w:rPr>
            <w:noProof/>
            <w:webHidden/>
          </w:rPr>
          <w:fldChar w:fldCharType="separate"/>
        </w:r>
        <w:r w:rsidR="002A70FB">
          <w:rPr>
            <w:noProof/>
            <w:webHidden/>
          </w:rPr>
          <w:t>20</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1" w:history="1">
        <w:r w:rsidR="007666A8" w:rsidRPr="008D4AA4">
          <w:rPr>
            <w:rStyle w:val="Hyperlink"/>
            <w:noProof/>
            <w:lang w:val="en-CA"/>
          </w:rPr>
          <w:t>7.9</w:t>
        </w:r>
        <w:r w:rsidR="007666A8">
          <w:rPr>
            <w:rFonts w:asciiTheme="minorHAnsi" w:eastAsiaTheme="minorEastAsia" w:hAnsiTheme="minorHAnsi" w:cstheme="minorBidi"/>
            <w:noProof/>
            <w:lang w:val="en-US"/>
          </w:rPr>
          <w:tab/>
        </w:r>
        <w:r w:rsidR="007666A8" w:rsidRPr="008D4AA4">
          <w:rPr>
            <w:rStyle w:val="Hyperlink"/>
            <w:noProof/>
            <w:lang w:val="en-CA"/>
          </w:rPr>
          <w:t>Adverse events Management</w:t>
        </w:r>
        <w:r w:rsidR="007666A8">
          <w:rPr>
            <w:noProof/>
            <w:webHidden/>
          </w:rPr>
          <w:tab/>
        </w:r>
        <w:r w:rsidR="00261CB3">
          <w:rPr>
            <w:noProof/>
            <w:webHidden/>
          </w:rPr>
          <w:fldChar w:fldCharType="begin"/>
        </w:r>
        <w:r w:rsidR="007666A8">
          <w:rPr>
            <w:noProof/>
            <w:webHidden/>
          </w:rPr>
          <w:instrText xml:space="preserve"> PAGEREF _Toc387306501 \h </w:instrText>
        </w:r>
        <w:r w:rsidR="00261CB3">
          <w:rPr>
            <w:noProof/>
            <w:webHidden/>
          </w:rPr>
        </w:r>
        <w:r w:rsidR="00261CB3">
          <w:rPr>
            <w:noProof/>
            <w:webHidden/>
          </w:rPr>
          <w:fldChar w:fldCharType="separate"/>
        </w:r>
        <w:r w:rsidR="002A70FB">
          <w:rPr>
            <w:noProof/>
            <w:webHidden/>
          </w:rPr>
          <w:t>21</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02" w:history="1">
        <w:r w:rsidR="007666A8" w:rsidRPr="008D4AA4">
          <w:rPr>
            <w:rStyle w:val="Hyperlink"/>
            <w:noProof/>
            <w:lang w:val="en-CA"/>
          </w:rPr>
          <w:t>8</w:t>
        </w:r>
        <w:r w:rsidR="007666A8">
          <w:rPr>
            <w:rFonts w:asciiTheme="minorHAnsi" w:eastAsiaTheme="minorEastAsia" w:hAnsiTheme="minorHAnsi" w:cstheme="minorBidi"/>
            <w:noProof/>
            <w:lang w:val="en-US"/>
          </w:rPr>
          <w:tab/>
        </w:r>
        <w:r w:rsidR="007666A8" w:rsidRPr="008D4AA4">
          <w:rPr>
            <w:rStyle w:val="Hyperlink"/>
            <w:noProof/>
            <w:lang w:val="en-CA"/>
          </w:rPr>
          <w:t>SAFETY REPORTING</w:t>
        </w:r>
        <w:r w:rsidR="007666A8">
          <w:rPr>
            <w:noProof/>
            <w:webHidden/>
          </w:rPr>
          <w:tab/>
        </w:r>
        <w:r w:rsidR="00261CB3">
          <w:rPr>
            <w:noProof/>
            <w:webHidden/>
          </w:rPr>
          <w:fldChar w:fldCharType="begin"/>
        </w:r>
        <w:r w:rsidR="007666A8">
          <w:rPr>
            <w:noProof/>
            <w:webHidden/>
          </w:rPr>
          <w:instrText xml:space="preserve"> PAGEREF _Toc387306502 \h </w:instrText>
        </w:r>
        <w:r w:rsidR="00261CB3">
          <w:rPr>
            <w:noProof/>
            <w:webHidden/>
          </w:rPr>
        </w:r>
        <w:r w:rsidR="00261CB3">
          <w:rPr>
            <w:noProof/>
            <w:webHidden/>
          </w:rPr>
          <w:fldChar w:fldCharType="separate"/>
        </w:r>
        <w:r w:rsidR="002A70FB">
          <w:rPr>
            <w:noProof/>
            <w:webHidden/>
          </w:rPr>
          <w:t>21</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3" w:history="1">
        <w:r w:rsidR="007666A8" w:rsidRPr="008D4AA4">
          <w:rPr>
            <w:rStyle w:val="Hyperlink"/>
            <w:noProof/>
            <w:lang w:val="en-CA"/>
          </w:rPr>
          <w:t>8.1</w:t>
        </w:r>
        <w:r w:rsidR="007666A8">
          <w:rPr>
            <w:rFonts w:asciiTheme="minorHAnsi" w:eastAsiaTheme="minorEastAsia" w:hAnsiTheme="minorHAnsi" w:cstheme="minorBidi"/>
            <w:noProof/>
            <w:lang w:val="en-US"/>
          </w:rPr>
          <w:tab/>
        </w:r>
        <w:r w:rsidR="007666A8" w:rsidRPr="008D4AA4">
          <w:rPr>
            <w:rStyle w:val="Hyperlink"/>
            <w:noProof/>
            <w:lang w:val="en-CA"/>
          </w:rPr>
          <w:t>Definitions</w:t>
        </w:r>
        <w:r w:rsidR="007666A8">
          <w:rPr>
            <w:noProof/>
            <w:webHidden/>
          </w:rPr>
          <w:tab/>
        </w:r>
        <w:r w:rsidR="00261CB3">
          <w:rPr>
            <w:noProof/>
            <w:webHidden/>
          </w:rPr>
          <w:fldChar w:fldCharType="begin"/>
        </w:r>
        <w:r w:rsidR="007666A8">
          <w:rPr>
            <w:noProof/>
            <w:webHidden/>
          </w:rPr>
          <w:instrText xml:space="preserve"> PAGEREF _Toc387306503 \h </w:instrText>
        </w:r>
        <w:r w:rsidR="00261CB3">
          <w:rPr>
            <w:noProof/>
            <w:webHidden/>
          </w:rPr>
        </w:r>
        <w:r w:rsidR="00261CB3">
          <w:rPr>
            <w:noProof/>
            <w:webHidden/>
          </w:rPr>
          <w:fldChar w:fldCharType="separate"/>
        </w:r>
        <w:r w:rsidR="002A70FB">
          <w:rPr>
            <w:noProof/>
            <w:webHidden/>
          </w:rPr>
          <w:t>21</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4" w:history="1">
        <w:r w:rsidR="007666A8" w:rsidRPr="008D4AA4">
          <w:rPr>
            <w:rStyle w:val="Hyperlink"/>
            <w:noProof/>
            <w:lang w:val="en-CA"/>
          </w:rPr>
          <w:t>8.2</w:t>
        </w:r>
        <w:r w:rsidR="007666A8">
          <w:rPr>
            <w:rFonts w:asciiTheme="minorHAnsi" w:eastAsiaTheme="minorEastAsia" w:hAnsiTheme="minorHAnsi" w:cstheme="minorBidi"/>
            <w:noProof/>
            <w:lang w:val="en-US"/>
          </w:rPr>
          <w:tab/>
        </w:r>
        <w:r w:rsidR="007666A8" w:rsidRPr="008D4AA4">
          <w:rPr>
            <w:rStyle w:val="Hyperlink"/>
            <w:noProof/>
            <w:lang w:val="en-CA"/>
          </w:rPr>
          <w:t>Assessment of Adverse Events</w:t>
        </w:r>
        <w:r w:rsidR="007666A8">
          <w:rPr>
            <w:noProof/>
            <w:webHidden/>
          </w:rPr>
          <w:tab/>
        </w:r>
        <w:r w:rsidR="00261CB3">
          <w:rPr>
            <w:noProof/>
            <w:webHidden/>
          </w:rPr>
          <w:fldChar w:fldCharType="begin"/>
        </w:r>
        <w:r w:rsidR="007666A8">
          <w:rPr>
            <w:noProof/>
            <w:webHidden/>
          </w:rPr>
          <w:instrText xml:space="preserve"> PAGEREF _Toc387306504 \h </w:instrText>
        </w:r>
        <w:r w:rsidR="00261CB3">
          <w:rPr>
            <w:noProof/>
            <w:webHidden/>
          </w:rPr>
        </w:r>
        <w:r w:rsidR="00261CB3">
          <w:rPr>
            <w:noProof/>
            <w:webHidden/>
          </w:rPr>
          <w:fldChar w:fldCharType="separate"/>
        </w:r>
        <w:r w:rsidR="002A70FB">
          <w:rPr>
            <w:noProof/>
            <w:webHidden/>
          </w:rPr>
          <w:t>22</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5" w:history="1">
        <w:r w:rsidR="007666A8" w:rsidRPr="008D4AA4">
          <w:rPr>
            <w:rStyle w:val="Hyperlink"/>
            <w:noProof/>
            <w:lang w:val="en-CA"/>
          </w:rPr>
          <w:t>8.3</w:t>
        </w:r>
        <w:r w:rsidR="007666A8">
          <w:rPr>
            <w:rFonts w:asciiTheme="minorHAnsi" w:eastAsiaTheme="minorEastAsia" w:hAnsiTheme="minorHAnsi" w:cstheme="minorBidi"/>
            <w:noProof/>
            <w:lang w:val="en-US"/>
          </w:rPr>
          <w:tab/>
        </w:r>
        <w:r w:rsidR="007666A8" w:rsidRPr="008D4AA4">
          <w:rPr>
            <w:rStyle w:val="Hyperlink"/>
            <w:noProof/>
            <w:lang w:val="en-CA"/>
          </w:rPr>
          <w:t>Adverse Event Recording</w:t>
        </w:r>
        <w:r w:rsidR="007666A8">
          <w:rPr>
            <w:noProof/>
            <w:webHidden/>
          </w:rPr>
          <w:tab/>
        </w:r>
        <w:r w:rsidR="00261CB3">
          <w:rPr>
            <w:noProof/>
            <w:webHidden/>
          </w:rPr>
          <w:fldChar w:fldCharType="begin"/>
        </w:r>
        <w:r w:rsidR="007666A8">
          <w:rPr>
            <w:noProof/>
            <w:webHidden/>
          </w:rPr>
          <w:instrText xml:space="preserve"> PAGEREF _Toc387306505 \h </w:instrText>
        </w:r>
        <w:r w:rsidR="00261CB3">
          <w:rPr>
            <w:noProof/>
            <w:webHidden/>
          </w:rPr>
        </w:r>
        <w:r w:rsidR="00261CB3">
          <w:rPr>
            <w:noProof/>
            <w:webHidden/>
          </w:rPr>
          <w:fldChar w:fldCharType="separate"/>
        </w:r>
        <w:r w:rsidR="002A70FB">
          <w:rPr>
            <w:noProof/>
            <w:webHidden/>
          </w:rPr>
          <w:t>24</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6" w:history="1">
        <w:r w:rsidR="007666A8" w:rsidRPr="008D4AA4">
          <w:rPr>
            <w:rStyle w:val="Hyperlink"/>
            <w:noProof/>
            <w:lang w:val="en-CA"/>
          </w:rPr>
          <w:t>8.4</w:t>
        </w:r>
        <w:r w:rsidR="007666A8">
          <w:rPr>
            <w:rFonts w:asciiTheme="minorHAnsi" w:eastAsiaTheme="minorEastAsia" w:hAnsiTheme="minorHAnsi" w:cstheme="minorBidi"/>
            <w:noProof/>
            <w:lang w:val="en-US"/>
          </w:rPr>
          <w:tab/>
        </w:r>
        <w:r w:rsidR="007666A8" w:rsidRPr="008D4AA4">
          <w:rPr>
            <w:rStyle w:val="Hyperlink"/>
            <w:noProof/>
            <w:lang w:val="en-CA"/>
          </w:rPr>
          <w:t>Regulatory Reporting of Adverse Events</w:t>
        </w:r>
        <w:r w:rsidR="007666A8">
          <w:rPr>
            <w:noProof/>
            <w:webHidden/>
          </w:rPr>
          <w:tab/>
        </w:r>
        <w:r w:rsidR="00261CB3">
          <w:rPr>
            <w:noProof/>
            <w:webHidden/>
          </w:rPr>
          <w:fldChar w:fldCharType="begin"/>
        </w:r>
        <w:r w:rsidR="007666A8">
          <w:rPr>
            <w:noProof/>
            <w:webHidden/>
          </w:rPr>
          <w:instrText xml:space="preserve"> PAGEREF _Toc387306506 \h </w:instrText>
        </w:r>
        <w:r w:rsidR="00261CB3">
          <w:rPr>
            <w:noProof/>
            <w:webHidden/>
          </w:rPr>
        </w:r>
        <w:r w:rsidR="00261CB3">
          <w:rPr>
            <w:noProof/>
            <w:webHidden/>
          </w:rPr>
          <w:fldChar w:fldCharType="separate"/>
        </w:r>
        <w:r w:rsidR="002A70FB">
          <w:rPr>
            <w:noProof/>
            <w:webHidden/>
          </w:rPr>
          <w:t>24</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7" w:history="1">
        <w:r w:rsidR="007666A8" w:rsidRPr="008D4AA4">
          <w:rPr>
            <w:rStyle w:val="Hyperlink"/>
            <w:noProof/>
            <w:lang w:val="en-CA"/>
          </w:rPr>
          <w:t>8.5</w:t>
        </w:r>
        <w:r w:rsidR="007666A8">
          <w:rPr>
            <w:rFonts w:asciiTheme="minorHAnsi" w:eastAsiaTheme="minorEastAsia" w:hAnsiTheme="minorHAnsi" w:cstheme="minorBidi"/>
            <w:noProof/>
            <w:lang w:val="en-US"/>
          </w:rPr>
          <w:tab/>
        </w:r>
        <w:r w:rsidR="007666A8" w:rsidRPr="008D4AA4">
          <w:rPr>
            <w:rStyle w:val="Hyperlink"/>
            <w:noProof/>
            <w:lang w:val="en-CA"/>
          </w:rPr>
          <w:t>Safety Reporting and the Data Safety and Monitoring Board</w:t>
        </w:r>
        <w:r w:rsidR="007666A8">
          <w:rPr>
            <w:noProof/>
            <w:webHidden/>
          </w:rPr>
          <w:tab/>
        </w:r>
        <w:r w:rsidR="00261CB3">
          <w:rPr>
            <w:noProof/>
            <w:webHidden/>
          </w:rPr>
          <w:fldChar w:fldCharType="begin"/>
        </w:r>
        <w:r w:rsidR="007666A8">
          <w:rPr>
            <w:noProof/>
            <w:webHidden/>
          </w:rPr>
          <w:instrText xml:space="preserve"> PAGEREF _Toc387306507 \h </w:instrText>
        </w:r>
        <w:r w:rsidR="00261CB3">
          <w:rPr>
            <w:noProof/>
            <w:webHidden/>
          </w:rPr>
        </w:r>
        <w:r w:rsidR="00261CB3">
          <w:rPr>
            <w:noProof/>
            <w:webHidden/>
          </w:rPr>
          <w:fldChar w:fldCharType="separate"/>
        </w:r>
        <w:r w:rsidR="002A70FB">
          <w:rPr>
            <w:noProof/>
            <w:webHidden/>
          </w:rPr>
          <w:t>24</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08" w:history="1">
        <w:r w:rsidR="007666A8" w:rsidRPr="008D4AA4">
          <w:rPr>
            <w:rStyle w:val="Hyperlink"/>
            <w:noProof/>
            <w:lang w:val="en-CA"/>
          </w:rPr>
          <w:t>8.6</w:t>
        </w:r>
        <w:r w:rsidR="007666A8">
          <w:rPr>
            <w:rFonts w:asciiTheme="minorHAnsi" w:eastAsiaTheme="minorEastAsia" w:hAnsiTheme="minorHAnsi" w:cstheme="minorBidi"/>
            <w:noProof/>
            <w:lang w:val="en-US"/>
          </w:rPr>
          <w:tab/>
        </w:r>
        <w:r w:rsidR="007666A8" w:rsidRPr="008D4AA4">
          <w:rPr>
            <w:rStyle w:val="Hyperlink"/>
            <w:noProof/>
            <w:lang w:val="en-CA"/>
          </w:rPr>
          <w:t>Protocol Violations</w:t>
        </w:r>
        <w:r w:rsidR="007666A8">
          <w:rPr>
            <w:noProof/>
            <w:webHidden/>
          </w:rPr>
          <w:tab/>
        </w:r>
        <w:r w:rsidR="00261CB3">
          <w:rPr>
            <w:noProof/>
            <w:webHidden/>
          </w:rPr>
          <w:fldChar w:fldCharType="begin"/>
        </w:r>
        <w:r w:rsidR="007666A8">
          <w:rPr>
            <w:noProof/>
            <w:webHidden/>
          </w:rPr>
          <w:instrText xml:space="preserve"> PAGEREF _Toc387306508 \h </w:instrText>
        </w:r>
        <w:r w:rsidR="00261CB3">
          <w:rPr>
            <w:noProof/>
            <w:webHidden/>
          </w:rPr>
        </w:r>
        <w:r w:rsidR="00261CB3">
          <w:rPr>
            <w:noProof/>
            <w:webHidden/>
          </w:rPr>
          <w:fldChar w:fldCharType="separate"/>
        </w:r>
        <w:r w:rsidR="002A70FB">
          <w:rPr>
            <w:noProof/>
            <w:webHidden/>
          </w:rPr>
          <w:t>25</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09" w:history="1">
        <w:r w:rsidR="007666A8" w:rsidRPr="008D4AA4">
          <w:rPr>
            <w:rStyle w:val="Hyperlink"/>
            <w:noProof/>
            <w:lang w:val="en-CA"/>
          </w:rPr>
          <w:t>9</w:t>
        </w:r>
        <w:r w:rsidR="007666A8">
          <w:rPr>
            <w:rFonts w:asciiTheme="minorHAnsi" w:eastAsiaTheme="minorEastAsia" w:hAnsiTheme="minorHAnsi" w:cstheme="minorBidi"/>
            <w:noProof/>
            <w:lang w:val="en-US"/>
          </w:rPr>
          <w:tab/>
        </w:r>
        <w:r w:rsidR="007666A8" w:rsidRPr="008D4AA4">
          <w:rPr>
            <w:rStyle w:val="Hyperlink"/>
            <w:noProof/>
            <w:lang w:val="en-CA"/>
          </w:rPr>
          <w:t>STATISTICS</w:t>
        </w:r>
        <w:r w:rsidR="007666A8">
          <w:rPr>
            <w:noProof/>
            <w:webHidden/>
          </w:rPr>
          <w:tab/>
        </w:r>
        <w:r w:rsidR="00261CB3">
          <w:rPr>
            <w:noProof/>
            <w:webHidden/>
          </w:rPr>
          <w:fldChar w:fldCharType="begin"/>
        </w:r>
        <w:r w:rsidR="007666A8">
          <w:rPr>
            <w:noProof/>
            <w:webHidden/>
          </w:rPr>
          <w:instrText xml:space="preserve"> PAGEREF _Toc387306509 \h </w:instrText>
        </w:r>
        <w:r w:rsidR="00261CB3">
          <w:rPr>
            <w:noProof/>
            <w:webHidden/>
          </w:rPr>
        </w:r>
        <w:r w:rsidR="00261CB3">
          <w:rPr>
            <w:noProof/>
            <w:webHidden/>
          </w:rPr>
          <w:fldChar w:fldCharType="separate"/>
        </w:r>
        <w:r w:rsidR="002A70FB">
          <w:rPr>
            <w:noProof/>
            <w:webHidden/>
          </w:rPr>
          <w:t>25</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0" w:history="1">
        <w:r w:rsidR="007666A8" w:rsidRPr="008D4AA4">
          <w:rPr>
            <w:rStyle w:val="Hyperlink"/>
            <w:noProof/>
            <w:lang w:val="en-CA"/>
          </w:rPr>
          <w:t>9.1</w:t>
        </w:r>
        <w:r w:rsidR="007666A8">
          <w:rPr>
            <w:rFonts w:asciiTheme="minorHAnsi" w:eastAsiaTheme="minorEastAsia" w:hAnsiTheme="minorHAnsi" w:cstheme="minorBidi"/>
            <w:noProof/>
            <w:lang w:val="en-US"/>
          </w:rPr>
          <w:tab/>
        </w:r>
        <w:r w:rsidR="007666A8" w:rsidRPr="008D4AA4">
          <w:rPr>
            <w:rStyle w:val="Hyperlink"/>
            <w:noProof/>
            <w:lang w:val="en-CA"/>
          </w:rPr>
          <w:t>Sample size justification</w:t>
        </w:r>
        <w:r w:rsidR="007666A8">
          <w:rPr>
            <w:noProof/>
            <w:webHidden/>
          </w:rPr>
          <w:tab/>
        </w:r>
        <w:r w:rsidR="00261CB3">
          <w:rPr>
            <w:noProof/>
            <w:webHidden/>
          </w:rPr>
          <w:fldChar w:fldCharType="begin"/>
        </w:r>
        <w:r w:rsidR="007666A8">
          <w:rPr>
            <w:noProof/>
            <w:webHidden/>
          </w:rPr>
          <w:instrText xml:space="preserve"> PAGEREF _Toc387306510 \h </w:instrText>
        </w:r>
        <w:r w:rsidR="00261CB3">
          <w:rPr>
            <w:noProof/>
            <w:webHidden/>
          </w:rPr>
        </w:r>
        <w:r w:rsidR="00261CB3">
          <w:rPr>
            <w:noProof/>
            <w:webHidden/>
          </w:rPr>
          <w:fldChar w:fldCharType="separate"/>
        </w:r>
        <w:r w:rsidR="002A70FB">
          <w:rPr>
            <w:noProof/>
            <w:webHidden/>
          </w:rPr>
          <w:t>25</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1" w:history="1">
        <w:r w:rsidR="007666A8" w:rsidRPr="008D4AA4">
          <w:rPr>
            <w:rStyle w:val="Hyperlink"/>
            <w:noProof/>
            <w:lang w:val="en-CA"/>
          </w:rPr>
          <w:t>9.2</w:t>
        </w:r>
        <w:r w:rsidR="007666A8">
          <w:rPr>
            <w:rFonts w:asciiTheme="minorHAnsi" w:eastAsiaTheme="minorEastAsia" w:hAnsiTheme="minorHAnsi" w:cstheme="minorBidi"/>
            <w:noProof/>
            <w:lang w:val="en-US"/>
          </w:rPr>
          <w:tab/>
        </w:r>
        <w:r w:rsidR="007666A8" w:rsidRPr="008D4AA4">
          <w:rPr>
            <w:rStyle w:val="Hyperlink"/>
            <w:noProof/>
            <w:lang w:val="en-CA"/>
          </w:rPr>
          <w:t>Description of Statistical Methods</w:t>
        </w:r>
        <w:r w:rsidR="007666A8">
          <w:rPr>
            <w:noProof/>
            <w:webHidden/>
          </w:rPr>
          <w:tab/>
        </w:r>
        <w:r w:rsidR="00261CB3">
          <w:rPr>
            <w:noProof/>
            <w:webHidden/>
          </w:rPr>
          <w:fldChar w:fldCharType="begin"/>
        </w:r>
        <w:r w:rsidR="007666A8">
          <w:rPr>
            <w:noProof/>
            <w:webHidden/>
          </w:rPr>
          <w:instrText xml:space="preserve"> PAGEREF _Toc387306511 \h </w:instrText>
        </w:r>
        <w:r w:rsidR="00261CB3">
          <w:rPr>
            <w:noProof/>
            <w:webHidden/>
          </w:rPr>
        </w:r>
        <w:r w:rsidR="00261CB3">
          <w:rPr>
            <w:noProof/>
            <w:webHidden/>
          </w:rPr>
          <w:fldChar w:fldCharType="separate"/>
        </w:r>
        <w:r w:rsidR="002A70FB">
          <w:rPr>
            <w:noProof/>
            <w:webHidden/>
          </w:rPr>
          <w:t>26</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12" w:history="1">
        <w:r w:rsidR="007666A8" w:rsidRPr="008D4AA4">
          <w:rPr>
            <w:rStyle w:val="Hyperlink"/>
            <w:noProof/>
            <w:lang w:val="en-CA"/>
          </w:rPr>
          <w:t>10</w:t>
        </w:r>
        <w:r w:rsidR="007666A8">
          <w:rPr>
            <w:rFonts w:asciiTheme="minorHAnsi" w:eastAsiaTheme="minorEastAsia" w:hAnsiTheme="minorHAnsi" w:cstheme="minorBidi"/>
            <w:noProof/>
            <w:lang w:val="en-US"/>
          </w:rPr>
          <w:tab/>
        </w:r>
        <w:r w:rsidR="007666A8" w:rsidRPr="008D4AA4">
          <w:rPr>
            <w:rStyle w:val="Hyperlink"/>
            <w:noProof/>
            <w:lang w:val="en-CA"/>
          </w:rPr>
          <w:t>DATA</w:t>
        </w:r>
        <w:r w:rsidR="007666A8">
          <w:rPr>
            <w:noProof/>
            <w:webHidden/>
          </w:rPr>
          <w:tab/>
        </w:r>
        <w:r w:rsidR="00261CB3">
          <w:rPr>
            <w:noProof/>
            <w:webHidden/>
          </w:rPr>
          <w:fldChar w:fldCharType="begin"/>
        </w:r>
        <w:r w:rsidR="007666A8">
          <w:rPr>
            <w:noProof/>
            <w:webHidden/>
          </w:rPr>
          <w:instrText xml:space="preserve"> PAGEREF _Toc387306512 \h </w:instrText>
        </w:r>
        <w:r w:rsidR="00261CB3">
          <w:rPr>
            <w:noProof/>
            <w:webHidden/>
          </w:rPr>
        </w:r>
        <w:r w:rsidR="00261CB3">
          <w:rPr>
            <w:noProof/>
            <w:webHidden/>
          </w:rPr>
          <w:fldChar w:fldCharType="separate"/>
        </w:r>
        <w:r w:rsidR="002A70FB">
          <w:rPr>
            <w:noProof/>
            <w:webHidden/>
          </w:rPr>
          <w:t>27</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3" w:history="1">
        <w:r w:rsidR="007666A8" w:rsidRPr="008D4AA4">
          <w:rPr>
            <w:rStyle w:val="Hyperlink"/>
            <w:noProof/>
            <w:lang w:val="en-CA"/>
          </w:rPr>
          <w:t>10.1</w:t>
        </w:r>
        <w:r w:rsidR="007666A8">
          <w:rPr>
            <w:rFonts w:asciiTheme="minorHAnsi" w:eastAsiaTheme="minorEastAsia" w:hAnsiTheme="minorHAnsi" w:cstheme="minorBidi"/>
            <w:noProof/>
            <w:lang w:val="en-US"/>
          </w:rPr>
          <w:tab/>
        </w:r>
        <w:r w:rsidR="007666A8" w:rsidRPr="008D4AA4">
          <w:rPr>
            <w:rStyle w:val="Hyperlink"/>
            <w:noProof/>
            <w:lang w:val="en-CA"/>
          </w:rPr>
          <w:t>Data collection and entry</w:t>
        </w:r>
        <w:r w:rsidR="007666A8">
          <w:rPr>
            <w:noProof/>
            <w:webHidden/>
          </w:rPr>
          <w:tab/>
        </w:r>
        <w:r w:rsidR="00261CB3">
          <w:rPr>
            <w:noProof/>
            <w:webHidden/>
          </w:rPr>
          <w:fldChar w:fldCharType="begin"/>
        </w:r>
        <w:r w:rsidR="007666A8">
          <w:rPr>
            <w:noProof/>
            <w:webHidden/>
          </w:rPr>
          <w:instrText xml:space="preserve"> PAGEREF _Toc387306513 \h </w:instrText>
        </w:r>
        <w:r w:rsidR="00261CB3">
          <w:rPr>
            <w:noProof/>
            <w:webHidden/>
          </w:rPr>
        </w:r>
        <w:r w:rsidR="00261CB3">
          <w:rPr>
            <w:noProof/>
            <w:webHidden/>
          </w:rPr>
          <w:fldChar w:fldCharType="separate"/>
        </w:r>
        <w:r w:rsidR="002A70FB">
          <w:rPr>
            <w:noProof/>
            <w:webHidden/>
          </w:rPr>
          <w:t>27</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4" w:history="1">
        <w:r w:rsidR="007666A8" w:rsidRPr="008D4AA4">
          <w:rPr>
            <w:rStyle w:val="Hyperlink"/>
            <w:noProof/>
            <w:lang w:val="en-CA"/>
          </w:rPr>
          <w:t>10.2</w:t>
        </w:r>
        <w:r w:rsidR="007666A8">
          <w:rPr>
            <w:rFonts w:asciiTheme="minorHAnsi" w:eastAsiaTheme="minorEastAsia" w:hAnsiTheme="minorHAnsi" w:cstheme="minorBidi"/>
            <w:noProof/>
            <w:lang w:val="en-US"/>
          </w:rPr>
          <w:tab/>
        </w:r>
        <w:r w:rsidR="007666A8" w:rsidRPr="008D4AA4">
          <w:rPr>
            <w:rStyle w:val="Hyperlink"/>
            <w:noProof/>
            <w:lang w:val="en-CA"/>
          </w:rPr>
          <w:t>Record Retention</w:t>
        </w:r>
        <w:r w:rsidR="007666A8">
          <w:rPr>
            <w:noProof/>
            <w:webHidden/>
          </w:rPr>
          <w:tab/>
        </w:r>
        <w:r w:rsidR="00261CB3">
          <w:rPr>
            <w:noProof/>
            <w:webHidden/>
          </w:rPr>
          <w:fldChar w:fldCharType="begin"/>
        </w:r>
        <w:r w:rsidR="007666A8">
          <w:rPr>
            <w:noProof/>
            <w:webHidden/>
          </w:rPr>
          <w:instrText xml:space="preserve"> PAGEREF _Toc387306514 \h </w:instrText>
        </w:r>
        <w:r w:rsidR="00261CB3">
          <w:rPr>
            <w:noProof/>
            <w:webHidden/>
          </w:rPr>
        </w:r>
        <w:r w:rsidR="00261CB3">
          <w:rPr>
            <w:noProof/>
            <w:webHidden/>
          </w:rPr>
          <w:fldChar w:fldCharType="separate"/>
        </w:r>
        <w:r w:rsidR="002A70FB">
          <w:rPr>
            <w:noProof/>
            <w:webHidden/>
          </w:rPr>
          <w:t>28</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15" w:history="1">
        <w:r w:rsidR="007666A8" w:rsidRPr="008D4AA4">
          <w:rPr>
            <w:rStyle w:val="Hyperlink"/>
            <w:noProof/>
            <w:lang w:val="en-CA"/>
          </w:rPr>
          <w:t>11</w:t>
        </w:r>
        <w:r w:rsidR="007666A8">
          <w:rPr>
            <w:rFonts w:asciiTheme="minorHAnsi" w:eastAsiaTheme="minorEastAsia" w:hAnsiTheme="minorHAnsi" w:cstheme="minorBidi"/>
            <w:noProof/>
            <w:lang w:val="en-US"/>
          </w:rPr>
          <w:tab/>
        </w:r>
        <w:r w:rsidR="007666A8" w:rsidRPr="008D4AA4">
          <w:rPr>
            <w:rStyle w:val="Hyperlink"/>
            <w:noProof/>
            <w:lang w:val="en-CA"/>
          </w:rPr>
          <w:t>QUALITY CONTROL AND QUALITY ASSURANCE PROCEDURES</w:t>
        </w:r>
        <w:r w:rsidR="007666A8">
          <w:rPr>
            <w:noProof/>
            <w:webHidden/>
          </w:rPr>
          <w:tab/>
        </w:r>
        <w:r w:rsidR="00261CB3">
          <w:rPr>
            <w:noProof/>
            <w:webHidden/>
          </w:rPr>
          <w:fldChar w:fldCharType="begin"/>
        </w:r>
        <w:r w:rsidR="007666A8">
          <w:rPr>
            <w:noProof/>
            <w:webHidden/>
          </w:rPr>
          <w:instrText xml:space="preserve"> PAGEREF _Toc387306515 \h </w:instrText>
        </w:r>
        <w:r w:rsidR="00261CB3">
          <w:rPr>
            <w:noProof/>
            <w:webHidden/>
          </w:rPr>
        </w:r>
        <w:r w:rsidR="00261CB3">
          <w:rPr>
            <w:noProof/>
            <w:webHidden/>
          </w:rPr>
          <w:fldChar w:fldCharType="separate"/>
        </w:r>
        <w:r w:rsidR="002A70FB">
          <w:rPr>
            <w:noProof/>
            <w:webHidden/>
          </w:rPr>
          <w:t>28</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16" w:history="1">
        <w:r w:rsidR="007666A8" w:rsidRPr="008D4AA4">
          <w:rPr>
            <w:rStyle w:val="Hyperlink"/>
            <w:noProof/>
            <w:lang w:val="en-CA"/>
          </w:rPr>
          <w:t>12</w:t>
        </w:r>
        <w:r w:rsidR="007666A8">
          <w:rPr>
            <w:rFonts w:asciiTheme="minorHAnsi" w:eastAsiaTheme="minorEastAsia" w:hAnsiTheme="minorHAnsi" w:cstheme="minorBidi"/>
            <w:noProof/>
            <w:lang w:val="en-US"/>
          </w:rPr>
          <w:tab/>
        </w:r>
        <w:r w:rsidR="007666A8" w:rsidRPr="008D4AA4">
          <w:rPr>
            <w:rStyle w:val="Hyperlink"/>
            <w:noProof/>
            <w:lang w:val="en-CA"/>
          </w:rPr>
          <w:t>ETHICS</w:t>
        </w:r>
        <w:r w:rsidR="007666A8">
          <w:rPr>
            <w:noProof/>
            <w:webHidden/>
          </w:rPr>
          <w:tab/>
        </w:r>
        <w:r w:rsidR="00261CB3">
          <w:rPr>
            <w:noProof/>
            <w:webHidden/>
          </w:rPr>
          <w:fldChar w:fldCharType="begin"/>
        </w:r>
        <w:r w:rsidR="007666A8">
          <w:rPr>
            <w:noProof/>
            <w:webHidden/>
          </w:rPr>
          <w:instrText xml:space="preserve"> PAGEREF _Toc387306516 \h </w:instrText>
        </w:r>
        <w:r w:rsidR="00261CB3">
          <w:rPr>
            <w:noProof/>
            <w:webHidden/>
          </w:rPr>
        </w:r>
        <w:r w:rsidR="00261CB3">
          <w:rPr>
            <w:noProof/>
            <w:webHidden/>
          </w:rPr>
          <w:fldChar w:fldCharType="separate"/>
        </w:r>
        <w:r w:rsidR="002A70FB">
          <w:rPr>
            <w:noProof/>
            <w:webHidden/>
          </w:rPr>
          <w:t>28</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7" w:history="1">
        <w:r w:rsidR="007666A8" w:rsidRPr="008D4AA4">
          <w:rPr>
            <w:rStyle w:val="Hyperlink"/>
            <w:noProof/>
            <w:lang w:val="en-CA"/>
          </w:rPr>
          <w:t>12.1</w:t>
        </w:r>
        <w:r w:rsidR="007666A8">
          <w:rPr>
            <w:rFonts w:asciiTheme="minorHAnsi" w:eastAsiaTheme="minorEastAsia" w:hAnsiTheme="minorHAnsi" w:cstheme="minorBidi"/>
            <w:noProof/>
            <w:lang w:val="en-US"/>
          </w:rPr>
          <w:tab/>
        </w:r>
        <w:r w:rsidR="007666A8" w:rsidRPr="008D4AA4">
          <w:rPr>
            <w:rStyle w:val="Hyperlink"/>
            <w:noProof/>
            <w:lang w:val="en-CA"/>
          </w:rPr>
          <w:t>Ethical and Regulatory Guidelines</w:t>
        </w:r>
        <w:r w:rsidR="007666A8">
          <w:rPr>
            <w:noProof/>
            <w:webHidden/>
          </w:rPr>
          <w:tab/>
        </w:r>
        <w:r w:rsidR="00261CB3">
          <w:rPr>
            <w:noProof/>
            <w:webHidden/>
          </w:rPr>
          <w:fldChar w:fldCharType="begin"/>
        </w:r>
        <w:r w:rsidR="007666A8">
          <w:rPr>
            <w:noProof/>
            <w:webHidden/>
          </w:rPr>
          <w:instrText xml:space="preserve"> PAGEREF _Toc387306517 \h </w:instrText>
        </w:r>
        <w:r w:rsidR="00261CB3">
          <w:rPr>
            <w:noProof/>
            <w:webHidden/>
          </w:rPr>
        </w:r>
        <w:r w:rsidR="00261CB3">
          <w:rPr>
            <w:noProof/>
            <w:webHidden/>
          </w:rPr>
          <w:fldChar w:fldCharType="separate"/>
        </w:r>
        <w:r w:rsidR="002A70FB">
          <w:rPr>
            <w:noProof/>
            <w:webHidden/>
          </w:rPr>
          <w:t>28</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8" w:history="1">
        <w:r w:rsidR="007666A8" w:rsidRPr="008D4AA4">
          <w:rPr>
            <w:rStyle w:val="Hyperlink"/>
            <w:noProof/>
            <w:lang w:val="en-CA"/>
          </w:rPr>
          <w:t>12.2</w:t>
        </w:r>
        <w:r w:rsidR="007666A8">
          <w:rPr>
            <w:rFonts w:asciiTheme="minorHAnsi" w:eastAsiaTheme="minorEastAsia" w:hAnsiTheme="minorHAnsi" w:cstheme="minorBidi"/>
            <w:noProof/>
            <w:lang w:val="en-US"/>
          </w:rPr>
          <w:tab/>
        </w:r>
        <w:r w:rsidR="007666A8" w:rsidRPr="008D4AA4">
          <w:rPr>
            <w:rStyle w:val="Hyperlink"/>
            <w:noProof/>
            <w:lang w:val="en-CA"/>
          </w:rPr>
          <w:t>Ethical Review</w:t>
        </w:r>
        <w:r w:rsidR="007666A8">
          <w:rPr>
            <w:noProof/>
            <w:webHidden/>
          </w:rPr>
          <w:tab/>
        </w:r>
        <w:r w:rsidR="00261CB3">
          <w:rPr>
            <w:noProof/>
            <w:webHidden/>
          </w:rPr>
          <w:fldChar w:fldCharType="begin"/>
        </w:r>
        <w:r w:rsidR="007666A8">
          <w:rPr>
            <w:noProof/>
            <w:webHidden/>
          </w:rPr>
          <w:instrText xml:space="preserve"> PAGEREF _Toc387306518 \h </w:instrText>
        </w:r>
        <w:r w:rsidR="00261CB3">
          <w:rPr>
            <w:noProof/>
            <w:webHidden/>
          </w:rPr>
        </w:r>
        <w:r w:rsidR="00261CB3">
          <w:rPr>
            <w:noProof/>
            <w:webHidden/>
          </w:rPr>
          <w:fldChar w:fldCharType="separate"/>
        </w:r>
        <w:r w:rsidR="002A70FB">
          <w:rPr>
            <w:noProof/>
            <w:webHidden/>
          </w:rPr>
          <w:t>28</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19" w:history="1">
        <w:r w:rsidR="007666A8" w:rsidRPr="008D4AA4">
          <w:rPr>
            <w:rStyle w:val="Hyperlink"/>
            <w:noProof/>
            <w:lang w:val="en-CA"/>
          </w:rPr>
          <w:t>12.3</w:t>
        </w:r>
        <w:r w:rsidR="007666A8">
          <w:rPr>
            <w:rFonts w:asciiTheme="minorHAnsi" w:eastAsiaTheme="minorEastAsia" w:hAnsiTheme="minorHAnsi" w:cstheme="minorBidi"/>
            <w:noProof/>
            <w:lang w:val="en-US"/>
          </w:rPr>
          <w:tab/>
        </w:r>
        <w:r w:rsidR="007666A8" w:rsidRPr="008D4AA4">
          <w:rPr>
            <w:rStyle w:val="Hyperlink"/>
            <w:noProof/>
            <w:lang w:val="en-CA"/>
          </w:rPr>
          <w:t>Informed Consent</w:t>
        </w:r>
        <w:r w:rsidR="007666A8">
          <w:rPr>
            <w:noProof/>
            <w:webHidden/>
          </w:rPr>
          <w:tab/>
        </w:r>
        <w:r w:rsidR="00261CB3">
          <w:rPr>
            <w:noProof/>
            <w:webHidden/>
          </w:rPr>
          <w:fldChar w:fldCharType="begin"/>
        </w:r>
        <w:r w:rsidR="007666A8">
          <w:rPr>
            <w:noProof/>
            <w:webHidden/>
          </w:rPr>
          <w:instrText xml:space="preserve"> PAGEREF _Toc387306519 \h </w:instrText>
        </w:r>
        <w:r w:rsidR="00261CB3">
          <w:rPr>
            <w:noProof/>
            <w:webHidden/>
          </w:rPr>
        </w:r>
        <w:r w:rsidR="00261CB3">
          <w:rPr>
            <w:noProof/>
            <w:webHidden/>
          </w:rPr>
          <w:fldChar w:fldCharType="separate"/>
        </w:r>
        <w:r w:rsidR="002A70FB">
          <w:rPr>
            <w:noProof/>
            <w:webHidden/>
          </w:rPr>
          <w:t>28</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20" w:history="1">
        <w:r w:rsidR="007666A8" w:rsidRPr="008D4AA4">
          <w:rPr>
            <w:rStyle w:val="Hyperlink"/>
            <w:noProof/>
            <w:lang w:val="en-CA"/>
          </w:rPr>
          <w:t>12.4</w:t>
        </w:r>
        <w:r w:rsidR="007666A8">
          <w:rPr>
            <w:rFonts w:asciiTheme="minorHAnsi" w:eastAsiaTheme="minorEastAsia" w:hAnsiTheme="minorHAnsi" w:cstheme="minorBidi"/>
            <w:noProof/>
            <w:lang w:val="en-US"/>
          </w:rPr>
          <w:tab/>
        </w:r>
        <w:r w:rsidR="007666A8" w:rsidRPr="008D4AA4">
          <w:rPr>
            <w:rStyle w:val="Hyperlink"/>
            <w:noProof/>
            <w:lang w:val="en-CA"/>
          </w:rPr>
          <w:t>Risks and Benefits</w:t>
        </w:r>
        <w:r w:rsidR="007666A8">
          <w:rPr>
            <w:noProof/>
            <w:webHidden/>
          </w:rPr>
          <w:tab/>
        </w:r>
        <w:r w:rsidR="00261CB3">
          <w:rPr>
            <w:noProof/>
            <w:webHidden/>
          </w:rPr>
          <w:fldChar w:fldCharType="begin"/>
        </w:r>
        <w:r w:rsidR="007666A8">
          <w:rPr>
            <w:noProof/>
            <w:webHidden/>
          </w:rPr>
          <w:instrText xml:space="preserve"> PAGEREF _Toc387306520 \h </w:instrText>
        </w:r>
        <w:r w:rsidR="00261CB3">
          <w:rPr>
            <w:noProof/>
            <w:webHidden/>
          </w:rPr>
        </w:r>
        <w:r w:rsidR="00261CB3">
          <w:rPr>
            <w:noProof/>
            <w:webHidden/>
          </w:rPr>
          <w:fldChar w:fldCharType="separate"/>
        </w:r>
        <w:r w:rsidR="002A70FB">
          <w:rPr>
            <w:noProof/>
            <w:webHidden/>
          </w:rPr>
          <w:t>29</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521" w:history="1">
        <w:r w:rsidR="007666A8" w:rsidRPr="008D4AA4">
          <w:rPr>
            <w:rStyle w:val="Hyperlink"/>
            <w:noProof/>
            <w:lang w:val="en-CA"/>
          </w:rPr>
          <w:t>12.4.1</w:t>
        </w:r>
        <w:r w:rsidR="007666A8">
          <w:rPr>
            <w:rFonts w:asciiTheme="minorHAnsi" w:eastAsiaTheme="minorEastAsia" w:hAnsiTheme="minorHAnsi" w:cstheme="minorBidi"/>
            <w:noProof/>
            <w:lang w:val="en-US"/>
          </w:rPr>
          <w:tab/>
        </w:r>
        <w:r w:rsidR="007666A8" w:rsidRPr="008D4AA4">
          <w:rPr>
            <w:rStyle w:val="Hyperlink"/>
            <w:noProof/>
            <w:lang w:val="en-CA"/>
          </w:rPr>
          <w:t>Expenses and Benefits</w:t>
        </w:r>
        <w:r w:rsidR="007666A8">
          <w:rPr>
            <w:noProof/>
            <w:webHidden/>
          </w:rPr>
          <w:tab/>
        </w:r>
        <w:r w:rsidR="00261CB3">
          <w:rPr>
            <w:noProof/>
            <w:webHidden/>
          </w:rPr>
          <w:fldChar w:fldCharType="begin"/>
        </w:r>
        <w:r w:rsidR="007666A8">
          <w:rPr>
            <w:noProof/>
            <w:webHidden/>
          </w:rPr>
          <w:instrText xml:space="preserve"> PAGEREF _Toc387306521 \h </w:instrText>
        </w:r>
        <w:r w:rsidR="00261CB3">
          <w:rPr>
            <w:noProof/>
            <w:webHidden/>
          </w:rPr>
        </w:r>
        <w:r w:rsidR="00261CB3">
          <w:rPr>
            <w:noProof/>
            <w:webHidden/>
          </w:rPr>
          <w:fldChar w:fldCharType="separate"/>
        </w:r>
        <w:r w:rsidR="002A70FB">
          <w:rPr>
            <w:noProof/>
            <w:webHidden/>
          </w:rPr>
          <w:t>30</w:t>
        </w:r>
        <w:r w:rsidR="00261CB3">
          <w:rPr>
            <w:noProof/>
            <w:webHidden/>
          </w:rPr>
          <w:fldChar w:fldCharType="end"/>
        </w:r>
      </w:hyperlink>
    </w:p>
    <w:p w:rsidR="007666A8" w:rsidRDefault="00D61D7F">
      <w:pPr>
        <w:pStyle w:val="TOC3"/>
        <w:tabs>
          <w:tab w:val="left" w:pos="1320"/>
          <w:tab w:val="right" w:leader="dot" w:pos="9045"/>
        </w:tabs>
        <w:rPr>
          <w:rFonts w:asciiTheme="minorHAnsi" w:eastAsiaTheme="minorEastAsia" w:hAnsiTheme="minorHAnsi" w:cstheme="minorBidi"/>
          <w:noProof/>
          <w:lang w:val="en-US"/>
        </w:rPr>
      </w:pPr>
      <w:hyperlink w:anchor="_Toc387306522" w:history="1">
        <w:r w:rsidR="007666A8" w:rsidRPr="008D4AA4">
          <w:rPr>
            <w:rStyle w:val="Hyperlink"/>
            <w:noProof/>
            <w:lang w:val="en-CA"/>
          </w:rPr>
          <w:t>12.4.2</w:t>
        </w:r>
        <w:r w:rsidR="007666A8">
          <w:rPr>
            <w:rFonts w:asciiTheme="minorHAnsi" w:eastAsiaTheme="minorEastAsia" w:hAnsiTheme="minorHAnsi" w:cstheme="minorBidi"/>
            <w:noProof/>
            <w:lang w:val="en-US"/>
          </w:rPr>
          <w:tab/>
        </w:r>
        <w:r w:rsidR="007666A8" w:rsidRPr="008D4AA4">
          <w:rPr>
            <w:rStyle w:val="Hyperlink"/>
            <w:noProof/>
            <w:lang w:val="en-CA"/>
          </w:rPr>
          <w:t>Participant Confidentiality</w:t>
        </w:r>
        <w:r w:rsidR="007666A8">
          <w:rPr>
            <w:noProof/>
            <w:webHidden/>
          </w:rPr>
          <w:tab/>
        </w:r>
        <w:r w:rsidR="00261CB3">
          <w:rPr>
            <w:noProof/>
            <w:webHidden/>
          </w:rPr>
          <w:fldChar w:fldCharType="begin"/>
        </w:r>
        <w:r w:rsidR="007666A8">
          <w:rPr>
            <w:noProof/>
            <w:webHidden/>
          </w:rPr>
          <w:instrText xml:space="preserve"> PAGEREF _Toc387306522 \h </w:instrText>
        </w:r>
        <w:r w:rsidR="00261CB3">
          <w:rPr>
            <w:noProof/>
            <w:webHidden/>
          </w:rPr>
        </w:r>
        <w:r w:rsidR="00261CB3">
          <w:rPr>
            <w:noProof/>
            <w:webHidden/>
          </w:rPr>
          <w:fldChar w:fldCharType="separate"/>
        </w:r>
        <w:r w:rsidR="002A70FB">
          <w:rPr>
            <w:noProof/>
            <w:webHidden/>
          </w:rPr>
          <w:t>31</w:t>
        </w:r>
        <w:r w:rsidR="00261CB3">
          <w:rPr>
            <w:noProof/>
            <w:webHidden/>
          </w:rPr>
          <w:fldChar w:fldCharType="end"/>
        </w:r>
      </w:hyperlink>
    </w:p>
    <w:p w:rsidR="007666A8" w:rsidRDefault="00D61D7F">
      <w:pPr>
        <w:pStyle w:val="TOC2"/>
        <w:tabs>
          <w:tab w:val="left" w:pos="880"/>
          <w:tab w:val="right" w:leader="dot" w:pos="9045"/>
        </w:tabs>
        <w:rPr>
          <w:rFonts w:asciiTheme="minorHAnsi" w:eastAsiaTheme="minorEastAsia" w:hAnsiTheme="minorHAnsi" w:cstheme="minorBidi"/>
          <w:noProof/>
          <w:lang w:val="en-US"/>
        </w:rPr>
      </w:pPr>
      <w:hyperlink w:anchor="_Toc387306523" w:history="1">
        <w:r w:rsidR="007666A8" w:rsidRPr="008D4AA4">
          <w:rPr>
            <w:rStyle w:val="Hyperlink"/>
            <w:noProof/>
            <w:lang w:val="en-CA"/>
          </w:rPr>
          <w:t>12.5</w:t>
        </w:r>
        <w:r w:rsidR="007666A8">
          <w:rPr>
            <w:rFonts w:asciiTheme="minorHAnsi" w:eastAsiaTheme="minorEastAsia" w:hAnsiTheme="minorHAnsi" w:cstheme="minorBidi"/>
            <w:noProof/>
            <w:lang w:val="en-US"/>
          </w:rPr>
          <w:tab/>
        </w:r>
        <w:r w:rsidR="007666A8" w:rsidRPr="008D4AA4">
          <w:rPr>
            <w:rStyle w:val="Hyperlink"/>
            <w:noProof/>
            <w:lang w:val="en-CA"/>
          </w:rPr>
          <w:t>Sample Use and Storage</w:t>
        </w:r>
        <w:r w:rsidR="007666A8">
          <w:rPr>
            <w:noProof/>
            <w:webHidden/>
          </w:rPr>
          <w:tab/>
        </w:r>
        <w:r w:rsidR="00261CB3">
          <w:rPr>
            <w:noProof/>
            <w:webHidden/>
          </w:rPr>
          <w:fldChar w:fldCharType="begin"/>
        </w:r>
        <w:r w:rsidR="007666A8">
          <w:rPr>
            <w:noProof/>
            <w:webHidden/>
          </w:rPr>
          <w:instrText xml:space="preserve"> PAGEREF _Toc387306523 \h </w:instrText>
        </w:r>
        <w:r w:rsidR="00261CB3">
          <w:rPr>
            <w:noProof/>
            <w:webHidden/>
          </w:rPr>
        </w:r>
        <w:r w:rsidR="00261CB3">
          <w:rPr>
            <w:noProof/>
            <w:webHidden/>
          </w:rPr>
          <w:fldChar w:fldCharType="separate"/>
        </w:r>
        <w:r w:rsidR="002A70FB">
          <w:rPr>
            <w:noProof/>
            <w:webHidden/>
          </w:rPr>
          <w:t>31</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24" w:history="1">
        <w:r w:rsidR="007666A8" w:rsidRPr="008D4AA4">
          <w:rPr>
            <w:rStyle w:val="Hyperlink"/>
            <w:noProof/>
            <w:lang w:val="en-CA"/>
          </w:rPr>
          <w:t>13</w:t>
        </w:r>
        <w:r w:rsidR="007666A8">
          <w:rPr>
            <w:rFonts w:asciiTheme="minorHAnsi" w:eastAsiaTheme="minorEastAsia" w:hAnsiTheme="minorHAnsi" w:cstheme="minorBidi"/>
            <w:noProof/>
            <w:lang w:val="en-US"/>
          </w:rPr>
          <w:tab/>
        </w:r>
        <w:r w:rsidR="007666A8" w:rsidRPr="008D4AA4">
          <w:rPr>
            <w:rStyle w:val="Hyperlink"/>
            <w:noProof/>
            <w:lang w:val="en-CA"/>
          </w:rPr>
          <w:t>FINANCE AND INSURANCE</w:t>
        </w:r>
        <w:r w:rsidR="007666A8">
          <w:rPr>
            <w:noProof/>
            <w:webHidden/>
          </w:rPr>
          <w:tab/>
        </w:r>
        <w:r w:rsidR="00261CB3">
          <w:rPr>
            <w:noProof/>
            <w:webHidden/>
          </w:rPr>
          <w:fldChar w:fldCharType="begin"/>
        </w:r>
        <w:r w:rsidR="007666A8">
          <w:rPr>
            <w:noProof/>
            <w:webHidden/>
          </w:rPr>
          <w:instrText xml:space="preserve"> PAGEREF _Toc387306524 \h </w:instrText>
        </w:r>
        <w:r w:rsidR="00261CB3">
          <w:rPr>
            <w:noProof/>
            <w:webHidden/>
          </w:rPr>
        </w:r>
        <w:r w:rsidR="00261CB3">
          <w:rPr>
            <w:noProof/>
            <w:webHidden/>
          </w:rPr>
          <w:fldChar w:fldCharType="separate"/>
        </w:r>
        <w:r w:rsidR="002A70FB">
          <w:rPr>
            <w:noProof/>
            <w:webHidden/>
          </w:rPr>
          <w:t>31</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25" w:history="1">
        <w:r w:rsidR="007666A8" w:rsidRPr="008D4AA4">
          <w:rPr>
            <w:rStyle w:val="Hyperlink"/>
            <w:noProof/>
            <w:lang w:val="en-CA"/>
          </w:rPr>
          <w:t>14</w:t>
        </w:r>
        <w:r w:rsidR="007666A8">
          <w:rPr>
            <w:rFonts w:asciiTheme="minorHAnsi" w:eastAsiaTheme="minorEastAsia" w:hAnsiTheme="minorHAnsi" w:cstheme="minorBidi"/>
            <w:noProof/>
            <w:lang w:val="en-US"/>
          </w:rPr>
          <w:tab/>
        </w:r>
        <w:r w:rsidR="007666A8" w:rsidRPr="008D4AA4">
          <w:rPr>
            <w:rStyle w:val="Hyperlink"/>
            <w:noProof/>
            <w:lang w:val="en-CA"/>
          </w:rPr>
          <w:t>PUBLICATION POLICY</w:t>
        </w:r>
        <w:r w:rsidR="007666A8">
          <w:rPr>
            <w:noProof/>
            <w:webHidden/>
          </w:rPr>
          <w:tab/>
        </w:r>
        <w:r w:rsidR="00261CB3">
          <w:rPr>
            <w:noProof/>
            <w:webHidden/>
          </w:rPr>
          <w:fldChar w:fldCharType="begin"/>
        </w:r>
        <w:r w:rsidR="007666A8">
          <w:rPr>
            <w:noProof/>
            <w:webHidden/>
          </w:rPr>
          <w:instrText xml:space="preserve"> PAGEREF _Toc387306525 \h </w:instrText>
        </w:r>
        <w:r w:rsidR="00261CB3">
          <w:rPr>
            <w:noProof/>
            <w:webHidden/>
          </w:rPr>
        </w:r>
        <w:r w:rsidR="00261CB3">
          <w:rPr>
            <w:noProof/>
            <w:webHidden/>
          </w:rPr>
          <w:fldChar w:fldCharType="separate"/>
        </w:r>
        <w:r w:rsidR="002A70FB">
          <w:rPr>
            <w:noProof/>
            <w:webHidden/>
          </w:rPr>
          <w:t>31</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26" w:history="1">
        <w:r w:rsidR="007666A8" w:rsidRPr="008D4AA4">
          <w:rPr>
            <w:rStyle w:val="Hyperlink"/>
            <w:noProof/>
            <w:lang w:val="en-CA"/>
          </w:rPr>
          <w:t>15</w:t>
        </w:r>
        <w:r w:rsidR="007666A8">
          <w:rPr>
            <w:rFonts w:asciiTheme="minorHAnsi" w:eastAsiaTheme="minorEastAsia" w:hAnsiTheme="minorHAnsi" w:cstheme="minorBidi"/>
            <w:noProof/>
            <w:lang w:val="en-US"/>
          </w:rPr>
          <w:tab/>
        </w:r>
        <w:r w:rsidR="007666A8" w:rsidRPr="008D4AA4">
          <w:rPr>
            <w:rStyle w:val="Hyperlink"/>
            <w:noProof/>
            <w:lang w:val="en-CA"/>
          </w:rPr>
          <w:t>REFERENCES</w:t>
        </w:r>
        <w:r w:rsidR="007666A8">
          <w:rPr>
            <w:noProof/>
            <w:webHidden/>
          </w:rPr>
          <w:tab/>
        </w:r>
        <w:r w:rsidR="00261CB3">
          <w:rPr>
            <w:noProof/>
            <w:webHidden/>
          </w:rPr>
          <w:fldChar w:fldCharType="begin"/>
        </w:r>
        <w:r w:rsidR="007666A8">
          <w:rPr>
            <w:noProof/>
            <w:webHidden/>
          </w:rPr>
          <w:instrText xml:space="preserve"> PAGEREF _Toc387306526 \h </w:instrText>
        </w:r>
        <w:r w:rsidR="00261CB3">
          <w:rPr>
            <w:noProof/>
            <w:webHidden/>
          </w:rPr>
        </w:r>
        <w:r w:rsidR="00261CB3">
          <w:rPr>
            <w:noProof/>
            <w:webHidden/>
          </w:rPr>
          <w:fldChar w:fldCharType="separate"/>
        </w:r>
        <w:r w:rsidR="002A70FB">
          <w:rPr>
            <w:noProof/>
            <w:webHidden/>
          </w:rPr>
          <w:t>31</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27" w:history="1">
        <w:r w:rsidR="007666A8" w:rsidRPr="008D4AA4">
          <w:rPr>
            <w:rStyle w:val="Hyperlink"/>
            <w:noProof/>
            <w:lang w:val="en-CA"/>
          </w:rPr>
          <w:t>16</w:t>
        </w:r>
        <w:r w:rsidR="007666A8">
          <w:rPr>
            <w:rFonts w:asciiTheme="minorHAnsi" w:eastAsiaTheme="minorEastAsia" w:hAnsiTheme="minorHAnsi" w:cstheme="minorBidi"/>
            <w:noProof/>
            <w:lang w:val="en-US"/>
          </w:rPr>
          <w:tab/>
        </w:r>
        <w:r w:rsidR="007666A8" w:rsidRPr="008D4AA4">
          <w:rPr>
            <w:rStyle w:val="Hyperlink"/>
            <w:noProof/>
            <w:lang w:val="en-CA"/>
          </w:rPr>
          <w:t>APPENDIX A: STUDY FLOW CHART</w:t>
        </w:r>
        <w:r w:rsidR="007666A8">
          <w:rPr>
            <w:noProof/>
            <w:webHidden/>
          </w:rPr>
          <w:tab/>
        </w:r>
        <w:r w:rsidR="00261CB3">
          <w:rPr>
            <w:noProof/>
            <w:webHidden/>
          </w:rPr>
          <w:fldChar w:fldCharType="begin"/>
        </w:r>
        <w:r w:rsidR="007666A8">
          <w:rPr>
            <w:noProof/>
            <w:webHidden/>
          </w:rPr>
          <w:instrText xml:space="preserve"> PAGEREF _Toc387306527 \h </w:instrText>
        </w:r>
        <w:r w:rsidR="00261CB3">
          <w:rPr>
            <w:noProof/>
            <w:webHidden/>
          </w:rPr>
        </w:r>
        <w:r w:rsidR="00261CB3">
          <w:rPr>
            <w:noProof/>
            <w:webHidden/>
          </w:rPr>
          <w:fldChar w:fldCharType="separate"/>
        </w:r>
        <w:r w:rsidR="002A70FB">
          <w:rPr>
            <w:noProof/>
            <w:webHidden/>
          </w:rPr>
          <w:t>34</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28" w:history="1">
        <w:r w:rsidR="007666A8" w:rsidRPr="008D4AA4">
          <w:rPr>
            <w:rStyle w:val="Hyperlink"/>
            <w:noProof/>
            <w:lang w:val="en-CA"/>
          </w:rPr>
          <w:t>17</w:t>
        </w:r>
        <w:r w:rsidR="007666A8">
          <w:rPr>
            <w:rFonts w:asciiTheme="minorHAnsi" w:eastAsiaTheme="minorEastAsia" w:hAnsiTheme="minorHAnsi" w:cstheme="minorBidi"/>
            <w:noProof/>
            <w:lang w:val="en-US"/>
          </w:rPr>
          <w:tab/>
        </w:r>
        <w:r w:rsidR="007666A8" w:rsidRPr="008D4AA4">
          <w:rPr>
            <w:rStyle w:val="Hyperlink"/>
            <w:noProof/>
            <w:lang w:val="en-CA"/>
          </w:rPr>
          <w:t>APPENDIX B: SCHEDULE OF PROCEDURES</w:t>
        </w:r>
        <w:r w:rsidR="007666A8">
          <w:rPr>
            <w:noProof/>
            <w:webHidden/>
          </w:rPr>
          <w:tab/>
        </w:r>
        <w:r w:rsidR="00261CB3">
          <w:rPr>
            <w:noProof/>
            <w:webHidden/>
          </w:rPr>
          <w:fldChar w:fldCharType="begin"/>
        </w:r>
        <w:r w:rsidR="007666A8">
          <w:rPr>
            <w:noProof/>
            <w:webHidden/>
          </w:rPr>
          <w:instrText xml:space="preserve"> PAGEREF _Toc387306528 \h </w:instrText>
        </w:r>
        <w:r w:rsidR="00261CB3">
          <w:rPr>
            <w:noProof/>
            <w:webHidden/>
          </w:rPr>
        </w:r>
        <w:r w:rsidR="00261CB3">
          <w:rPr>
            <w:noProof/>
            <w:webHidden/>
          </w:rPr>
          <w:fldChar w:fldCharType="separate"/>
        </w:r>
        <w:r w:rsidR="002A70FB">
          <w:rPr>
            <w:noProof/>
            <w:webHidden/>
          </w:rPr>
          <w:t>35</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29" w:history="1">
        <w:r w:rsidR="007666A8" w:rsidRPr="008D4AA4">
          <w:rPr>
            <w:rStyle w:val="Hyperlink"/>
            <w:noProof/>
            <w:lang w:val="en-CA"/>
          </w:rPr>
          <w:t>18</w:t>
        </w:r>
        <w:r w:rsidR="007666A8">
          <w:rPr>
            <w:rFonts w:asciiTheme="minorHAnsi" w:eastAsiaTheme="minorEastAsia" w:hAnsiTheme="minorHAnsi" w:cstheme="minorBidi"/>
            <w:noProof/>
            <w:lang w:val="en-US"/>
          </w:rPr>
          <w:tab/>
        </w:r>
        <w:r w:rsidR="007666A8" w:rsidRPr="008D4AA4">
          <w:rPr>
            <w:rStyle w:val="Hyperlink"/>
            <w:noProof/>
            <w:lang w:val="en-CA"/>
          </w:rPr>
          <w:t>APPENDIX C. TBM DIAGNOSTIC CRITERIA</w:t>
        </w:r>
        <w:r w:rsidR="007666A8">
          <w:rPr>
            <w:noProof/>
            <w:webHidden/>
          </w:rPr>
          <w:tab/>
        </w:r>
        <w:r w:rsidR="00261CB3">
          <w:rPr>
            <w:noProof/>
            <w:webHidden/>
          </w:rPr>
          <w:fldChar w:fldCharType="begin"/>
        </w:r>
        <w:r w:rsidR="007666A8">
          <w:rPr>
            <w:noProof/>
            <w:webHidden/>
          </w:rPr>
          <w:instrText xml:space="preserve"> PAGEREF _Toc387306529 \h </w:instrText>
        </w:r>
        <w:r w:rsidR="00261CB3">
          <w:rPr>
            <w:noProof/>
            <w:webHidden/>
          </w:rPr>
        </w:r>
        <w:r w:rsidR="00261CB3">
          <w:rPr>
            <w:noProof/>
            <w:webHidden/>
          </w:rPr>
          <w:fldChar w:fldCharType="separate"/>
        </w:r>
        <w:r w:rsidR="002A70FB">
          <w:rPr>
            <w:noProof/>
            <w:webHidden/>
          </w:rPr>
          <w:t>36</w:t>
        </w:r>
        <w:r w:rsidR="00261CB3">
          <w:rPr>
            <w:noProof/>
            <w:webHidden/>
          </w:rPr>
          <w:fldChar w:fldCharType="end"/>
        </w:r>
      </w:hyperlink>
    </w:p>
    <w:p w:rsidR="007666A8" w:rsidRDefault="00D61D7F">
      <w:pPr>
        <w:pStyle w:val="TOC1"/>
        <w:rPr>
          <w:rFonts w:asciiTheme="minorHAnsi" w:eastAsiaTheme="minorEastAsia" w:hAnsiTheme="minorHAnsi" w:cstheme="minorBidi"/>
          <w:noProof/>
          <w:lang w:val="en-US"/>
        </w:rPr>
      </w:pPr>
      <w:hyperlink w:anchor="_Toc387306530" w:history="1">
        <w:r w:rsidR="007666A8" w:rsidRPr="008D4AA4">
          <w:rPr>
            <w:rStyle w:val="Hyperlink"/>
            <w:noProof/>
            <w:lang w:val="en-CA"/>
          </w:rPr>
          <w:t>19</w:t>
        </w:r>
        <w:r w:rsidR="007666A8">
          <w:rPr>
            <w:rFonts w:asciiTheme="minorHAnsi" w:eastAsiaTheme="minorEastAsia" w:hAnsiTheme="minorHAnsi" w:cstheme="minorBidi"/>
            <w:noProof/>
            <w:lang w:val="en-US"/>
          </w:rPr>
          <w:tab/>
        </w:r>
        <w:r w:rsidR="007666A8" w:rsidRPr="008D4AA4">
          <w:rPr>
            <w:rStyle w:val="Hyperlink"/>
            <w:noProof/>
            <w:lang w:val="en-CA"/>
          </w:rPr>
          <w:t>APPENDIX D. VIET NAM NATIONAL TUBERCULOSIS PROGRAMME TREATMENT GUIDELINES FOR TUBERCULOSIS MENINGITIS</w:t>
        </w:r>
        <w:r w:rsidR="007666A8">
          <w:rPr>
            <w:noProof/>
            <w:webHidden/>
          </w:rPr>
          <w:tab/>
        </w:r>
        <w:r w:rsidR="00261CB3">
          <w:rPr>
            <w:noProof/>
            <w:webHidden/>
          </w:rPr>
          <w:fldChar w:fldCharType="begin"/>
        </w:r>
        <w:r w:rsidR="007666A8">
          <w:rPr>
            <w:noProof/>
            <w:webHidden/>
          </w:rPr>
          <w:instrText xml:space="preserve"> PAGEREF _Toc387306530 \h </w:instrText>
        </w:r>
        <w:r w:rsidR="00261CB3">
          <w:rPr>
            <w:noProof/>
            <w:webHidden/>
          </w:rPr>
        </w:r>
        <w:r w:rsidR="00261CB3">
          <w:rPr>
            <w:noProof/>
            <w:webHidden/>
          </w:rPr>
          <w:fldChar w:fldCharType="separate"/>
        </w:r>
        <w:r w:rsidR="002A70FB">
          <w:rPr>
            <w:noProof/>
            <w:webHidden/>
          </w:rPr>
          <w:t>37</w:t>
        </w:r>
        <w:r w:rsidR="00261CB3">
          <w:rPr>
            <w:noProof/>
            <w:webHidden/>
          </w:rPr>
          <w:fldChar w:fldCharType="end"/>
        </w:r>
      </w:hyperlink>
    </w:p>
    <w:p w:rsidR="008A647A" w:rsidRPr="00A73C45" w:rsidRDefault="00261CB3">
      <w:pPr>
        <w:rPr>
          <w:szCs w:val="26"/>
          <w:u w:val="single"/>
          <w:lang w:val="en-CA"/>
        </w:rPr>
      </w:pPr>
      <w:r w:rsidRPr="00A73C45">
        <w:rPr>
          <w:rFonts w:cs="Arial"/>
          <w:szCs w:val="26"/>
          <w:u w:val="single"/>
          <w:lang w:val="en-CA"/>
        </w:rPr>
        <w:fldChar w:fldCharType="end"/>
      </w:r>
      <w:bookmarkStart w:id="1" w:name="_Toc178998107"/>
    </w:p>
    <w:p w:rsidR="00F84AE3" w:rsidRPr="00A73C45" w:rsidRDefault="008A647A">
      <w:pPr>
        <w:rPr>
          <w:b/>
          <w:lang w:val="en-CA" w:eastAsia="en-GB"/>
        </w:rPr>
      </w:pPr>
      <w:r w:rsidRPr="00A73C45">
        <w:rPr>
          <w:szCs w:val="26"/>
          <w:u w:val="single"/>
          <w:lang w:val="en-CA"/>
        </w:rPr>
        <w:br w:type="page"/>
      </w:r>
      <w:bookmarkEnd w:id="1"/>
    </w:p>
    <w:p w:rsidR="00F84AE3" w:rsidRPr="00A73C45" w:rsidRDefault="00F84AE3">
      <w:pPr>
        <w:pStyle w:val="Heading1"/>
        <w:rPr>
          <w:lang w:val="en-CA"/>
        </w:rPr>
      </w:pPr>
      <w:bookmarkStart w:id="2" w:name="_Toc178998108"/>
      <w:bookmarkStart w:id="3" w:name="_Toc387306471"/>
      <w:r w:rsidRPr="00A73C45">
        <w:rPr>
          <w:lang w:val="en-CA"/>
        </w:rPr>
        <w:lastRenderedPageBreak/>
        <w:t>SYNOPSIS</w:t>
      </w:r>
      <w:bookmarkEnd w:id="2"/>
      <w:bookmarkEnd w:id="3"/>
    </w:p>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366"/>
        <w:gridCol w:w="6706"/>
      </w:tblGrid>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Study Title</w:t>
            </w:r>
          </w:p>
        </w:tc>
        <w:tc>
          <w:tcPr>
            <w:tcW w:w="6646" w:type="dxa"/>
          </w:tcPr>
          <w:p w:rsidR="00F84AE3" w:rsidRPr="00A73C45" w:rsidRDefault="003D449A">
            <w:pPr>
              <w:rPr>
                <w:b/>
                <w:bCs/>
                <w:lang w:val="en-CA"/>
              </w:rPr>
            </w:pPr>
            <w:r w:rsidRPr="00A73C45">
              <w:rPr>
                <w:b/>
                <w:bCs/>
                <w:lang w:val="en-CA"/>
              </w:rPr>
              <w:t xml:space="preserve">A pilot study of adjunctive aspirin for the treatment of </w:t>
            </w:r>
            <w:r w:rsidR="00EC46CE">
              <w:rPr>
                <w:b/>
                <w:bCs/>
                <w:lang w:val="en-CA"/>
              </w:rPr>
              <w:t xml:space="preserve">HIV negative </w:t>
            </w:r>
            <w:r w:rsidRPr="00A73C45">
              <w:rPr>
                <w:b/>
                <w:bCs/>
                <w:lang w:val="en-CA"/>
              </w:rPr>
              <w:t>adults with tuberculous meningitis</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Internal ref. no.</w:t>
            </w:r>
          </w:p>
        </w:tc>
        <w:tc>
          <w:tcPr>
            <w:tcW w:w="6646" w:type="dxa"/>
          </w:tcPr>
          <w:p w:rsidR="00F84AE3" w:rsidRPr="00A73C45" w:rsidRDefault="00DD769D">
            <w:pPr>
              <w:rPr>
                <w:lang w:val="en-CA"/>
              </w:rPr>
            </w:pPr>
            <w:r w:rsidRPr="00A73C45">
              <w:rPr>
                <w:lang w:val="en-CA"/>
              </w:rPr>
              <w:t>23TB</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 xml:space="preserve">Clinical Phase </w:t>
            </w:r>
          </w:p>
        </w:tc>
        <w:tc>
          <w:tcPr>
            <w:tcW w:w="6646" w:type="dxa"/>
          </w:tcPr>
          <w:p w:rsidR="00F84AE3" w:rsidRPr="00A73C45" w:rsidRDefault="003A4A48" w:rsidP="003D449A">
            <w:pPr>
              <w:rPr>
                <w:iCs/>
                <w:lang w:val="en-CA"/>
              </w:rPr>
            </w:pPr>
            <w:r w:rsidRPr="00A73C45">
              <w:rPr>
                <w:iCs/>
                <w:lang w:val="en-CA"/>
              </w:rPr>
              <w:t>P</w:t>
            </w:r>
            <w:r w:rsidR="00F84AE3" w:rsidRPr="00A73C45">
              <w:rPr>
                <w:iCs/>
                <w:lang w:val="en-CA"/>
              </w:rPr>
              <w:t>hase II</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Trial Design</w:t>
            </w:r>
          </w:p>
        </w:tc>
        <w:tc>
          <w:tcPr>
            <w:tcW w:w="6646" w:type="dxa"/>
          </w:tcPr>
          <w:p w:rsidR="00F84AE3" w:rsidRPr="00A73C45" w:rsidRDefault="00B25B18" w:rsidP="003D449A">
            <w:pPr>
              <w:rPr>
                <w:iCs/>
                <w:lang w:val="en-CA"/>
              </w:rPr>
            </w:pPr>
            <w:r w:rsidRPr="00A73C45">
              <w:rPr>
                <w:iCs/>
                <w:lang w:val="en-CA"/>
              </w:rPr>
              <w:t>Double blind,</w:t>
            </w:r>
            <w:r w:rsidR="003D449A" w:rsidRPr="00A73C45">
              <w:rPr>
                <w:iCs/>
                <w:lang w:val="en-CA"/>
              </w:rPr>
              <w:t xml:space="preserve"> </w:t>
            </w:r>
            <w:r w:rsidR="007B3E5D" w:rsidRPr="00A73C45">
              <w:rPr>
                <w:iCs/>
                <w:lang w:val="en-CA"/>
              </w:rPr>
              <w:t>1:1:</w:t>
            </w:r>
            <w:r w:rsidR="0021507C" w:rsidRPr="00A73C45">
              <w:rPr>
                <w:iCs/>
                <w:lang w:val="en-CA"/>
              </w:rPr>
              <w:t>1</w:t>
            </w:r>
            <w:r w:rsidR="004348BC" w:rsidRPr="00A73C45">
              <w:rPr>
                <w:iCs/>
                <w:lang w:val="en-CA"/>
              </w:rPr>
              <w:t xml:space="preserve"> </w:t>
            </w:r>
            <w:r w:rsidR="003D449A" w:rsidRPr="00A73C45">
              <w:rPr>
                <w:iCs/>
                <w:lang w:val="en-CA"/>
              </w:rPr>
              <w:t xml:space="preserve">randomized </w:t>
            </w:r>
            <w:r w:rsidRPr="00A73C45">
              <w:rPr>
                <w:iCs/>
                <w:lang w:val="en-CA"/>
              </w:rPr>
              <w:t xml:space="preserve">placebo </w:t>
            </w:r>
            <w:r w:rsidR="003D449A" w:rsidRPr="00A73C45">
              <w:rPr>
                <w:iCs/>
                <w:lang w:val="en-CA"/>
              </w:rPr>
              <w:t>controlled trial</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Trial Participants</w:t>
            </w:r>
          </w:p>
        </w:tc>
        <w:tc>
          <w:tcPr>
            <w:tcW w:w="6646" w:type="dxa"/>
          </w:tcPr>
          <w:p w:rsidR="00F84AE3" w:rsidRPr="00A73C45" w:rsidRDefault="008D0C6A">
            <w:pPr>
              <w:rPr>
                <w:iCs/>
                <w:lang w:val="en-CA"/>
              </w:rPr>
            </w:pPr>
            <w:r w:rsidRPr="00A73C45">
              <w:rPr>
                <w:iCs/>
                <w:lang w:val="en-CA"/>
              </w:rPr>
              <w:t>Adults with tuberculous meningitis</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Planned Sample Size</w:t>
            </w:r>
          </w:p>
        </w:tc>
        <w:tc>
          <w:tcPr>
            <w:tcW w:w="6646" w:type="dxa"/>
          </w:tcPr>
          <w:p w:rsidR="00F84AE3" w:rsidRPr="00A73C45" w:rsidRDefault="007A2447" w:rsidP="004348BC">
            <w:pPr>
              <w:rPr>
                <w:lang w:val="en-CA"/>
              </w:rPr>
            </w:pPr>
            <w:r w:rsidRPr="00A73C45">
              <w:rPr>
                <w:lang w:val="en-CA"/>
              </w:rPr>
              <w:t>120</w:t>
            </w:r>
            <w:r w:rsidR="008D0C6A" w:rsidRPr="00A73C45">
              <w:rPr>
                <w:lang w:val="en-CA"/>
              </w:rPr>
              <w:t xml:space="preserve"> patients</w:t>
            </w:r>
            <w:r w:rsidRPr="00A73C45">
              <w:rPr>
                <w:lang w:val="en-CA"/>
              </w:rPr>
              <w:t xml:space="preserve"> </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Follow-up duration</w:t>
            </w:r>
          </w:p>
        </w:tc>
        <w:tc>
          <w:tcPr>
            <w:tcW w:w="6646" w:type="dxa"/>
          </w:tcPr>
          <w:p w:rsidR="00F84AE3" w:rsidRPr="00A73C45" w:rsidRDefault="005827EC" w:rsidP="005827EC">
            <w:pPr>
              <w:rPr>
                <w:lang w:val="en-CA"/>
              </w:rPr>
            </w:pPr>
            <w:r>
              <w:rPr>
                <w:lang w:val="en-CA"/>
              </w:rPr>
              <w:t>240</w:t>
            </w:r>
            <w:r w:rsidR="00B25B18" w:rsidRPr="00A73C45">
              <w:rPr>
                <w:lang w:val="en-CA"/>
              </w:rPr>
              <w:t xml:space="preserve"> </w:t>
            </w:r>
            <w:r w:rsidR="007005D2" w:rsidRPr="00A73C45">
              <w:rPr>
                <w:lang w:val="en-CA"/>
              </w:rPr>
              <w:t>days</w:t>
            </w:r>
          </w:p>
        </w:tc>
      </w:tr>
      <w:tr w:rsidR="00F84AE3" w:rsidRPr="00A73C45" w:rsidTr="004970A0">
        <w:trPr>
          <w:tblCellSpacing w:w="20" w:type="dxa"/>
        </w:trPr>
        <w:tc>
          <w:tcPr>
            <w:tcW w:w="2306" w:type="dxa"/>
          </w:tcPr>
          <w:p w:rsidR="00F84AE3" w:rsidRPr="00A73C45" w:rsidRDefault="00F84AE3" w:rsidP="004348BC">
            <w:pPr>
              <w:rPr>
                <w:lang w:val="en-CA"/>
              </w:rPr>
            </w:pPr>
            <w:r w:rsidRPr="00A73C45">
              <w:rPr>
                <w:lang w:val="en-CA"/>
              </w:rPr>
              <w:t xml:space="preserve">Planned </w:t>
            </w:r>
            <w:r w:rsidR="004348BC" w:rsidRPr="00A73C45">
              <w:rPr>
                <w:lang w:val="en-CA"/>
              </w:rPr>
              <w:t xml:space="preserve">Enrolment </w:t>
            </w:r>
            <w:r w:rsidRPr="00A73C45">
              <w:rPr>
                <w:lang w:val="en-CA"/>
              </w:rPr>
              <w:t>Period</w:t>
            </w:r>
          </w:p>
        </w:tc>
        <w:tc>
          <w:tcPr>
            <w:tcW w:w="6646" w:type="dxa"/>
          </w:tcPr>
          <w:p w:rsidR="00F84AE3" w:rsidRPr="00A73C45" w:rsidRDefault="007A1B1D" w:rsidP="00B25359">
            <w:pPr>
              <w:rPr>
                <w:lang w:val="en-CA"/>
              </w:rPr>
            </w:pPr>
            <w:r>
              <w:rPr>
                <w:lang w:val="en-CA"/>
              </w:rPr>
              <w:t>Septem</w:t>
            </w:r>
            <w:r w:rsidR="00F371BA">
              <w:rPr>
                <w:lang w:val="en-CA"/>
              </w:rPr>
              <w:t>ber</w:t>
            </w:r>
            <w:r w:rsidR="00391B5C" w:rsidRPr="002F7676">
              <w:rPr>
                <w:lang w:val="en-CA"/>
              </w:rPr>
              <w:t xml:space="preserve"> 2014 to </w:t>
            </w:r>
            <w:r w:rsidR="00B25359">
              <w:rPr>
                <w:lang w:val="en-CA"/>
              </w:rPr>
              <w:t>December</w:t>
            </w:r>
            <w:r w:rsidR="00B25359" w:rsidRPr="002F7676">
              <w:rPr>
                <w:lang w:val="en-CA"/>
              </w:rPr>
              <w:t xml:space="preserve"> </w:t>
            </w:r>
            <w:r w:rsidR="00391B5C" w:rsidRPr="002F7676">
              <w:rPr>
                <w:lang w:val="en-CA"/>
              </w:rPr>
              <w:t>2016</w:t>
            </w:r>
          </w:p>
        </w:tc>
      </w:tr>
      <w:tr w:rsidR="00F84AE3" w:rsidRPr="00A73C45" w:rsidTr="004970A0">
        <w:trPr>
          <w:trHeight w:val="144"/>
          <w:tblCellSpacing w:w="20" w:type="dxa"/>
        </w:trPr>
        <w:tc>
          <w:tcPr>
            <w:tcW w:w="2306" w:type="dxa"/>
          </w:tcPr>
          <w:p w:rsidR="00F84AE3" w:rsidRPr="00A73C45" w:rsidRDefault="00F84AE3" w:rsidP="004970A0">
            <w:pPr>
              <w:rPr>
                <w:lang w:val="en-CA"/>
              </w:rPr>
            </w:pPr>
            <w:r w:rsidRPr="00A73C45">
              <w:rPr>
                <w:lang w:val="en-CA"/>
              </w:rPr>
              <w:t>Primary Objective</w:t>
            </w:r>
          </w:p>
        </w:tc>
        <w:tc>
          <w:tcPr>
            <w:tcW w:w="6646" w:type="dxa"/>
          </w:tcPr>
          <w:p w:rsidR="00F84AE3" w:rsidRPr="00A73C45" w:rsidRDefault="008D0C6A" w:rsidP="00D85FC1">
            <w:pPr>
              <w:rPr>
                <w:lang w:val="en-CA"/>
              </w:rPr>
            </w:pPr>
            <w:r w:rsidRPr="00A73C45">
              <w:rPr>
                <w:lang w:val="en-CA"/>
              </w:rPr>
              <w:t xml:space="preserve">To </w:t>
            </w:r>
            <w:r w:rsidR="00442C7A" w:rsidRPr="00A73C45">
              <w:rPr>
                <w:lang w:val="en-CA"/>
              </w:rPr>
              <w:t xml:space="preserve">generate pilot data on the safety </w:t>
            </w:r>
            <w:r w:rsidR="007B3E5D" w:rsidRPr="00A73C45">
              <w:rPr>
                <w:lang w:val="en-CA"/>
              </w:rPr>
              <w:t xml:space="preserve">and efficacy of </w:t>
            </w:r>
            <w:r w:rsidR="00572E6C" w:rsidRPr="00A73C45">
              <w:rPr>
                <w:lang w:val="en-CA"/>
              </w:rPr>
              <w:t>81mg</w:t>
            </w:r>
            <w:r w:rsidRPr="00A73C45">
              <w:rPr>
                <w:lang w:val="en-CA"/>
              </w:rPr>
              <w:t xml:space="preserve"> </w:t>
            </w:r>
            <w:r w:rsidR="00D85FC1">
              <w:rPr>
                <w:lang w:val="en-CA"/>
              </w:rPr>
              <w:t xml:space="preserve">daily </w:t>
            </w:r>
            <w:r w:rsidRPr="00A73C45">
              <w:rPr>
                <w:lang w:val="en-CA"/>
              </w:rPr>
              <w:t xml:space="preserve">and </w:t>
            </w:r>
            <w:r w:rsidR="0098197C" w:rsidRPr="00A73C45">
              <w:rPr>
                <w:lang w:val="en-CA"/>
              </w:rPr>
              <w:t>1000mg</w:t>
            </w:r>
            <w:r w:rsidR="00D85FC1">
              <w:rPr>
                <w:lang w:val="en-CA"/>
              </w:rPr>
              <w:t xml:space="preserve"> daily</w:t>
            </w:r>
            <w:r w:rsidRPr="00A73C45">
              <w:rPr>
                <w:lang w:val="en-CA"/>
              </w:rPr>
              <w:t xml:space="preserve"> dose </w:t>
            </w:r>
            <w:r w:rsidR="007B3E5D" w:rsidRPr="00A73C45">
              <w:rPr>
                <w:lang w:val="en-CA"/>
              </w:rPr>
              <w:t>adjunctive aspirin.</w:t>
            </w:r>
          </w:p>
        </w:tc>
      </w:tr>
      <w:tr w:rsidR="00F84AE3" w:rsidRPr="00A73C45" w:rsidTr="004970A0">
        <w:trPr>
          <w:trHeight w:val="432"/>
          <w:tblCellSpacing w:w="20" w:type="dxa"/>
        </w:trPr>
        <w:tc>
          <w:tcPr>
            <w:tcW w:w="2306" w:type="dxa"/>
          </w:tcPr>
          <w:p w:rsidR="00F84AE3" w:rsidRPr="00A73C45" w:rsidRDefault="00F84AE3" w:rsidP="004970A0">
            <w:pPr>
              <w:rPr>
                <w:lang w:val="en-CA"/>
              </w:rPr>
            </w:pPr>
            <w:r w:rsidRPr="00A73C45">
              <w:rPr>
                <w:lang w:val="en-CA"/>
              </w:rPr>
              <w:t>Secondary Objectives</w:t>
            </w:r>
          </w:p>
        </w:tc>
        <w:tc>
          <w:tcPr>
            <w:tcW w:w="6646" w:type="dxa"/>
          </w:tcPr>
          <w:p w:rsidR="00F84AE3" w:rsidRPr="00A73C45" w:rsidRDefault="0018702D" w:rsidP="00B25B18">
            <w:pPr>
              <w:rPr>
                <w:lang w:val="en-CA"/>
              </w:rPr>
            </w:pPr>
            <w:r w:rsidRPr="00A73C45">
              <w:rPr>
                <w:lang w:val="en-CA"/>
              </w:rPr>
              <w:t xml:space="preserve">To determine whether host genotype influences any of the above </w:t>
            </w:r>
            <w:r w:rsidR="007756D5" w:rsidRPr="00A73C45">
              <w:rPr>
                <w:lang w:val="en-CA"/>
              </w:rPr>
              <w:t>effects</w:t>
            </w:r>
          </w:p>
          <w:p w:rsidR="00B25B18" w:rsidRDefault="00B25B18" w:rsidP="00B25B18">
            <w:pPr>
              <w:rPr>
                <w:lang w:val="en-CA"/>
              </w:rPr>
            </w:pPr>
            <w:r w:rsidRPr="00A73C45">
              <w:rPr>
                <w:lang w:val="en-CA"/>
              </w:rPr>
              <w:t xml:space="preserve">To determine whether innate host macrophage antimicrobial activity influences outcome </w:t>
            </w:r>
          </w:p>
          <w:p w:rsidR="003113A3" w:rsidRPr="00A73C45" w:rsidRDefault="003113A3" w:rsidP="001107F2">
            <w:pPr>
              <w:rPr>
                <w:lang w:val="en-CA"/>
              </w:rPr>
            </w:pPr>
            <w:r>
              <w:rPr>
                <w:lang w:val="en-CA"/>
              </w:rPr>
              <w:t xml:space="preserve">To assess the </w:t>
            </w:r>
            <w:r w:rsidR="001107F2">
              <w:rPr>
                <w:lang w:val="en-CA"/>
              </w:rPr>
              <w:t xml:space="preserve">plasma </w:t>
            </w:r>
            <w:r>
              <w:rPr>
                <w:lang w:val="en-CA"/>
              </w:rPr>
              <w:t>pharmacokinetic</w:t>
            </w:r>
            <w:r w:rsidR="001107F2">
              <w:rPr>
                <w:lang w:val="en-CA"/>
              </w:rPr>
              <w:t>s</w:t>
            </w:r>
            <w:r>
              <w:rPr>
                <w:lang w:val="en-CA"/>
              </w:rPr>
              <w:t xml:space="preserve">  of aspirin </w:t>
            </w:r>
          </w:p>
        </w:tc>
      </w:tr>
      <w:tr w:rsidR="00F84AE3" w:rsidRPr="00A73C45" w:rsidTr="004970A0">
        <w:trPr>
          <w:trHeight w:val="432"/>
          <w:tblCellSpacing w:w="20" w:type="dxa"/>
        </w:trPr>
        <w:tc>
          <w:tcPr>
            <w:tcW w:w="2306" w:type="dxa"/>
          </w:tcPr>
          <w:p w:rsidR="00F84AE3" w:rsidRPr="00A73C45" w:rsidRDefault="00F84AE3" w:rsidP="004970A0">
            <w:pPr>
              <w:rPr>
                <w:lang w:val="en-CA"/>
              </w:rPr>
            </w:pPr>
            <w:r w:rsidRPr="00A73C45">
              <w:rPr>
                <w:lang w:val="en-CA"/>
              </w:rPr>
              <w:t>Primary Endpoint</w:t>
            </w:r>
          </w:p>
        </w:tc>
        <w:tc>
          <w:tcPr>
            <w:tcW w:w="6646" w:type="dxa"/>
          </w:tcPr>
          <w:p w:rsidR="007B3E5D" w:rsidRPr="00A73C45" w:rsidRDefault="007B3E5D" w:rsidP="00F46C92">
            <w:pPr>
              <w:rPr>
                <w:lang w:val="en-CA"/>
              </w:rPr>
            </w:pPr>
            <w:r w:rsidRPr="00A73C45">
              <w:rPr>
                <w:lang w:val="en-CA"/>
              </w:rPr>
              <w:t xml:space="preserve">Primary safety endpoint: </w:t>
            </w:r>
            <w:r w:rsidR="00F46C92" w:rsidRPr="00A73C45">
              <w:rPr>
                <w:lang w:val="en-CA"/>
              </w:rPr>
              <w:t xml:space="preserve">Clinically significant upper gastro-intestinal </w:t>
            </w:r>
            <w:r w:rsidR="002323A8" w:rsidRPr="00A73C45">
              <w:rPr>
                <w:lang w:val="en-CA"/>
              </w:rPr>
              <w:t xml:space="preserve">or cerebral </w:t>
            </w:r>
            <w:r w:rsidR="00F46C92" w:rsidRPr="00A73C45">
              <w:rPr>
                <w:lang w:val="en-CA"/>
              </w:rPr>
              <w:t>bleeding by 60 days</w:t>
            </w:r>
          </w:p>
          <w:p w:rsidR="00F84AE3" w:rsidRPr="00A73C45" w:rsidRDefault="007B3E5D" w:rsidP="00F46C92">
            <w:pPr>
              <w:rPr>
                <w:lang w:val="en-CA"/>
              </w:rPr>
            </w:pPr>
            <w:r w:rsidRPr="00A73C45">
              <w:rPr>
                <w:lang w:val="en-CA"/>
              </w:rPr>
              <w:t>Primary efficacy endpoint: New MRI-proven brain infarction or death by 60 days</w:t>
            </w:r>
          </w:p>
        </w:tc>
      </w:tr>
      <w:tr w:rsidR="00F84AE3" w:rsidRPr="00A73C45" w:rsidTr="004970A0">
        <w:trPr>
          <w:trHeight w:val="432"/>
          <w:tblCellSpacing w:w="20" w:type="dxa"/>
        </w:trPr>
        <w:tc>
          <w:tcPr>
            <w:tcW w:w="2306" w:type="dxa"/>
          </w:tcPr>
          <w:p w:rsidR="00F84AE3" w:rsidRPr="00A73C45" w:rsidRDefault="00F84AE3" w:rsidP="004970A0">
            <w:pPr>
              <w:rPr>
                <w:lang w:val="en-CA"/>
              </w:rPr>
            </w:pPr>
            <w:r w:rsidRPr="00A73C45">
              <w:rPr>
                <w:lang w:val="en-CA"/>
              </w:rPr>
              <w:t>Secondary Endpoints</w:t>
            </w:r>
          </w:p>
        </w:tc>
        <w:tc>
          <w:tcPr>
            <w:tcW w:w="6646" w:type="dxa"/>
          </w:tcPr>
          <w:p w:rsidR="00F84AE3" w:rsidRPr="00A73C45" w:rsidRDefault="007B3E5D">
            <w:pPr>
              <w:rPr>
                <w:lang w:val="en-CA"/>
              </w:rPr>
            </w:pPr>
            <w:r w:rsidRPr="00A73C45">
              <w:rPr>
                <w:lang w:val="en-CA"/>
              </w:rPr>
              <w:t xml:space="preserve">Time to death during </w:t>
            </w:r>
            <w:r w:rsidR="00F50BC2">
              <w:rPr>
                <w:lang w:val="en-CA"/>
              </w:rPr>
              <w:t>240</w:t>
            </w:r>
            <w:r w:rsidRPr="00A73C45">
              <w:rPr>
                <w:lang w:val="en-CA"/>
              </w:rPr>
              <w:t xml:space="preserve"> days </w:t>
            </w:r>
          </w:p>
          <w:p w:rsidR="00FB4A1E" w:rsidRPr="00A73C45" w:rsidRDefault="001E416A">
            <w:pPr>
              <w:rPr>
                <w:lang w:val="en-CA"/>
              </w:rPr>
            </w:pPr>
            <w:r w:rsidRPr="00A73C45">
              <w:rPr>
                <w:lang w:val="en-CA"/>
              </w:rPr>
              <w:t>Neurological disability by 6</w:t>
            </w:r>
            <w:r w:rsidR="00D0726E" w:rsidRPr="00A73C45">
              <w:rPr>
                <w:lang w:val="en-CA"/>
              </w:rPr>
              <w:t xml:space="preserve">0 days and </w:t>
            </w:r>
            <w:r w:rsidR="00F50BC2">
              <w:rPr>
                <w:lang w:val="en-CA"/>
              </w:rPr>
              <w:t>240</w:t>
            </w:r>
            <w:r w:rsidR="00D0726E" w:rsidRPr="00A73C45">
              <w:rPr>
                <w:lang w:val="en-CA"/>
              </w:rPr>
              <w:t xml:space="preserve"> days</w:t>
            </w:r>
          </w:p>
          <w:p w:rsidR="001E416A" w:rsidRPr="00A73C45" w:rsidRDefault="001E416A">
            <w:pPr>
              <w:rPr>
                <w:lang w:val="en-CA"/>
              </w:rPr>
            </w:pPr>
            <w:r w:rsidRPr="00A73C45">
              <w:rPr>
                <w:lang w:val="en-CA"/>
              </w:rPr>
              <w:t>Duration of hospital stay</w:t>
            </w:r>
          </w:p>
          <w:p w:rsidR="00F46C92" w:rsidRPr="00A73C45" w:rsidRDefault="007B3E5D">
            <w:pPr>
              <w:rPr>
                <w:lang w:val="en-CA"/>
              </w:rPr>
            </w:pPr>
            <w:r w:rsidRPr="00A73C45">
              <w:rPr>
                <w:lang w:val="en-CA"/>
              </w:rPr>
              <w:t>Grade 3&amp;4 and s</w:t>
            </w:r>
            <w:r w:rsidR="00B87E94">
              <w:rPr>
                <w:lang w:val="en-CA"/>
              </w:rPr>
              <w:t>erious adverse events by 6</w:t>
            </w:r>
            <w:r w:rsidR="00F46C92" w:rsidRPr="00A73C45">
              <w:rPr>
                <w:lang w:val="en-CA"/>
              </w:rPr>
              <w:t>0 days</w:t>
            </w:r>
          </w:p>
          <w:p w:rsidR="00136EBD" w:rsidRPr="00A73C45" w:rsidRDefault="00136EBD">
            <w:pPr>
              <w:rPr>
                <w:lang w:val="en-CA"/>
              </w:rPr>
            </w:pPr>
            <w:r w:rsidRPr="00A73C45">
              <w:rPr>
                <w:lang w:val="en-CA"/>
              </w:rPr>
              <w:t xml:space="preserve">The proportion of patients with MRI-proven infarction by day </w:t>
            </w:r>
            <w:r w:rsidR="005827EC">
              <w:rPr>
                <w:lang w:val="en-CA"/>
              </w:rPr>
              <w:t>240</w:t>
            </w:r>
          </w:p>
          <w:p w:rsidR="00B25B18" w:rsidRDefault="00A82FAE">
            <w:pPr>
              <w:rPr>
                <w:lang w:val="en-CA"/>
              </w:rPr>
            </w:pPr>
            <w:r w:rsidRPr="00A73C45">
              <w:rPr>
                <w:lang w:val="en-CA"/>
              </w:rPr>
              <w:t>Antimicrobial activity of peripheral blood monocyte/macrophages on day 30 and 60 compared to baseline</w:t>
            </w:r>
          </w:p>
          <w:p w:rsidR="00EC46CE" w:rsidRPr="00A73C45" w:rsidRDefault="00E96D90" w:rsidP="00E96D90">
            <w:pPr>
              <w:rPr>
                <w:lang w:val="en-CA"/>
              </w:rPr>
            </w:pPr>
            <w:r>
              <w:rPr>
                <w:lang w:val="en-CA"/>
              </w:rPr>
              <w:t xml:space="preserve">Concentration-time profile of </w:t>
            </w:r>
            <w:r w:rsidR="0090706D">
              <w:rPr>
                <w:lang w:val="en-CA"/>
              </w:rPr>
              <w:t>salicylic</w:t>
            </w:r>
            <w:r>
              <w:rPr>
                <w:lang w:val="en-CA"/>
              </w:rPr>
              <w:t xml:space="preserve"> acid including exposure, peak levels, half-life, elimination clearance and volume distribution</w:t>
            </w:r>
            <w:r w:rsidR="00BC6819">
              <w:rPr>
                <w:lang w:val="en-CA"/>
              </w:rPr>
              <w:t xml:space="preserve"> </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 xml:space="preserve">Investigational </w:t>
            </w:r>
            <w:r w:rsidRPr="00A73C45">
              <w:rPr>
                <w:lang w:val="en-CA"/>
              </w:rPr>
              <w:lastRenderedPageBreak/>
              <w:t>Medicinal Products</w:t>
            </w:r>
          </w:p>
        </w:tc>
        <w:tc>
          <w:tcPr>
            <w:tcW w:w="6646" w:type="dxa"/>
          </w:tcPr>
          <w:p w:rsidR="00F84AE3" w:rsidRPr="00A73C45" w:rsidRDefault="0018702D">
            <w:pPr>
              <w:rPr>
                <w:lang w:val="en-CA"/>
              </w:rPr>
            </w:pPr>
            <w:r w:rsidRPr="00A73C45">
              <w:rPr>
                <w:lang w:val="en-CA"/>
              </w:rPr>
              <w:lastRenderedPageBreak/>
              <w:t>Aspirin</w:t>
            </w:r>
            <w:r w:rsidR="00A82FAE" w:rsidRPr="00A73C45">
              <w:rPr>
                <w:lang w:val="en-CA"/>
              </w:rPr>
              <w:t xml:space="preserve"> and placebo</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lastRenderedPageBreak/>
              <w:t>Form</w:t>
            </w:r>
          </w:p>
        </w:tc>
        <w:tc>
          <w:tcPr>
            <w:tcW w:w="6646" w:type="dxa"/>
          </w:tcPr>
          <w:p w:rsidR="00F84AE3" w:rsidRPr="00A73C45" w:rsidRDefault="00F16DD2">
            <w:pPr>
              <w:rPr>
                <w:lang w:val="en-CA"/>
              </w:rPr>
            </w:pPr>
            <w:r w:rsidRPr="00A73C45">
              <w:rPr>
                <w:lang w:val="en-CA"/>
              </w:rPr>
              <w:t>Tablet</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Dose</w:t>
            </w:r>
          </w:p>
        </w:tc>
        <w:tc>
          <w:tcPr>
            <w:tcW w:w="6646" w:type="dxa"/>
          </w:tcPr>
          <w:p w:rsidR="00F84AE3" w:rsidRPr="00A73C45" w:rsidRDefault="002D0FCF" w:rsidP="00A82FAE">
            <w:pPr>
              <w:rPr>
                <w:lang w:val="en-CA"/>
              </w:rPr>
            </w:pPr>
            <w:r w:rsidRPr="00A73C45">
              <w:rPr>
                <w:lang w:val="en-CA"/>
              </w:rPr>
              <w:t>81mg</w:t>
            </w:r>
            <w:r w:rsidR="00723B09" w:rsidRPr="00A73C45">
              <w:rPr>
                <w:lang w:val="en-CA"/>
              </w:rPr>
              <w:t>,</w:t>
            </w:r>
            <w:r w:rsidR="0098197C" w:rsidRPr="00A73C45">
              <w:rPr>
                <w:lang w:val="en-CA"/>
              </w:rPr>
              <w:t>10</w:t>
            </w:r>
            <w:r w:rsidR="0018702D" w:rsidRPr="00A73C45">
              <w:rPr>
                <w:lang w:val="en-CA"/>
              </w:rPr>
              <w:t>00mg</w:t>
            </w:r>
            <w:r w:rsidR="00D0726E" w:rsidRPr="00A73C45">
              <w:rPr>
                <w:lang w:val="en-CA"/>
              </w:rPr>
              <w:t xml:space="preserve"> or </w:t>
            </w:r>
            <w:r w:rsidR="00A82FAE" w:rsidRPr="00A73C45">
              <w:rPr>
                <w:lang w:val="en-CA"/>
              </w:rPr>
              <w:t>placebo</w:t>
            </w:r>
            <w:r w:rsidR="00F16DD2" w:rsidRPr="00A73C45">
              <w:rPr>
                <w:lang w:val="en-CA"/>
              </w:rPr>
              <w:t xml:space="preserve"> </w:t>
            </w:r>
            <w:r w:rsidR="004348BC" w:rsidRPr="00A73C45">
              <w:rPr>
                <w:lang w:val="en-CA"/>
              </w:rPr>
              <w:t xml:space="preserve">daily </w:t>
            </w:r>
            <w:r w:rsidR="00F16DD2" w:rsidRPr="00A73C45">
              <w:rPr>
                <w:lang w:val="en-CA"/>
              </w:rPr>
              <w:t>for 60 days</w:t>
            </w:r>
          </w:p>
        </w:tc>
      </w:tr>
      <w:tr w:rsidR="00F84AE3" w:rsidRPr="00A73C45" w:rsidTr="004970A0">
        <w:trPr>
          <w:tblCellSpacing w:w="20" w:type="dxa"/>
        </w:trPr>
        <w:tc>
          <w:tcPr>
            <w:tcW w:w="2306" w:type="dxa"/>
          </w:tcPr>
          <w:p w:rsidR="00F84AE3" w:rsidRPr="00A73C45" w:rsidRDefault="00F84AE3" w:rsidP="004970A0">
            <w:pPr>
              <w:rPr>
                <w:lang w:val="en-CA"/>
              </w:rPr>
            </w:pPr>
            <w:r w:rsidRPr="00A73C45">
              <w:rPr>
                <w:lang w:val="en-CA"/>
              </w:rPr>
              <w:t>Route</w:t>
            </w:r>
          </w:p>
        </w:tc>
        <w:tc>
          <w:tcPr>
            <w:tcW w:w="6646" w:type="dxa"/>
          </w:tcPr>
          <w:p w:rsidR="00F84AE3" w:rsidRPr="00A73C45" w:rsidRDefault="0018702D" w:rsidP="001C308B">
            <w:pPr>
              <w:rPr>
                <w:lang w:val="en-CA"/>
              </w:rPr>
            </w:pPr>
            <w:r w:rsidRPr="00A73C45">
              <w:rPr>
                <w:lang w:val="en-CA"/>
              </w:rPr>
              <w:t>Oral/nasogastric tube</w:t>
            </w:r>
            <w:r w:rsidR="001E416A" w:rsidRPr="00A73C45">
              <w:rPr>
                <w:lang w:val="en-CA"/>
              </w:rPr>
              <w:t xml:space="preserve"> (if </w:t>
            </w:r>
            <w:r w:rsidR="00AC7503" w:rsidRPr="00A73C45">
              <w:rPr>
                <w:lang w:val="en-CA"/>
              </w:rPr>
              <w:t>unable to swallow safe</w:t>
            </w:r>
            <w:r w:rsidR="00253C43">
              <w:rPr>
                <w:lang w:val="en-CA"/>
              </w:rPr>
              <w:t>l</w:t>
            </w:r>
            <w:r w:rsidR="00AC7503" w:rsidRPr="00A73C45">
              <w:rPr>
                <w:lang w:val="en-CA"/>
              </w:rPr>
              <w:t>y</w:t>
            </w:r>
            <w:r w:rsidR="001E416A" w:rsidRPr="00A73C45">
              <w:rPr>
                <w:lang w:val="en-CA"/>
              </w:rPr>
              <w:t>)</w:t>
            </w:r>
          </w:p>
        </w:tc>
      </w:tr>
    </w:tbl>
    <w:p w:rsidR="0098649B" w:rsidRDefault="0098649B" w:rsidP="0098649B">
      <w:pPr>
        <w:pStyle w:val="Heading1"/>
        <w:numPr>
          <w:ilvl w:val="0"/>
          <w:numId w:val="0"/>
        </w:numPr>
        <w:ind w:left="432"/>
        <w:rPr>
          <w:lang w:val="en-CA"/>
        </w:rPr>
      </w:pPr>
      <w:bookmarkStart w:id="4" w:name="_Toc178998109"/>
      <w:bookmarkStart w:id="5" w:name="_Toc188242368"/>
    </w:p>
    <w:p w:rsidR="00F37DE5" w:rsidRDefault="0098649B" w:rsidP="00F37DE5">
      <w:pPr>
        <w:rPr>
          <w:rFonts w:cs="Arial"/>
          <w:kern w:val="32"/>
          <w:lang w:val="en-CA"/>
        </w:rPr>
      </w:pPr>
      <w:r>
        <w:rPr>
          <w:lang w:val="en-CA"/>
        </w:rPr>
        <w:br w:type="page"/>
      </w:r>
    </w:p>
    <w:p w:rsidR="00F84AE3" w:rsidRPr="00A73C45" w:rsidRDefault="00F84AE3">
      <w:pPr>
        <w:pStyle w:val="Heading1"/>
        <w:rPr>
          <w:lang w:val="en-CA"/>
        </w:rPr>
      </w:pPr>
      <w:bookmarkStart w:id="6" w:name="_Toc387306472"/>
      <w:r w:rsidRPr="00A73C45">
        <w:rPr>
          <w:lang w:val="en-CA"/>
        </w:rPr>
        <w:lastRenderedPageBreak/>
        <w:t>ABBREVIATIONS</w:t>
      </w:r>
      <w:bookmarkEnd w:id="4"/>
      <w:bookmarkEnd w:id="5"/>
      <w:bookmarkEnd w:id="6"/>
    </w:p>
    <w:p w:rsidR="00F84AE3" w:rsidRPr="00A73C45" w:rsidRDefault="00F84AE3">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7602"/>
      </w:tblGrid>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AE</w:t>
            </w:r>
          </w:p>
        </w:tc>
        <w:tc>
          <w:tcPr>
            <w:tcW w:w="7602" w:type="dxa"/>
          </w:tcPr>
          <w:p w:rsidR="00F84AE3" w:rsidRPr="00A73C45" w:rsidRDefault="00F84AE3">
            <w:pPr>
              <w:spacing w:before="60" w:after="60"/>
              <w:rPr>
                <w:sz w:val="20"/>
                <w:szCs w:val="20"/>
                <w:lang w:val="en-CA"/>
              </w:rPr>
            </w:pPr>
            <w:r w:rsidRPr="00A73C45">
              <w:rPr>
                <w:sz w:val="20"/>
                <w:szCs w:val="20"/>
                <w:lang w:val="en-CA"/>
              </w:rPr>
              <w:t>Adverse event</w:t>
            </w:r>
          </w:p>
        </w:tc>
      </w:tr>
      <w:tr w:rsidR="00A67464" w:rsidRPr="00A73C45">
        <w:tc>
          <w:tcPr>
            <w:tcW w:w="1194" w:type="dxa"/>
          </w:tcPr>
          <w:p w:rsidR="00A67464" w:rsidRPr="00A73C45" w:rsidRDefault="00A67464">
            <w:pPr>
              <w:spacing w:before="60" w:after="60"/>
              <w:rPr>
                <w:sz w:val="20"/>
                <w:szCs w:val="20"/>
                <w:lang w:val="en-CA"/>
              </w:rPr>
            </w:pPr>
            <w:r w:rsidRPr="00A73C45">
              <w:rPr>
                <w:sz w:val="20"/>
                <w:szCs w:val="20"/>
                <w:lang w:val="en-CA"/>
              </w:rPr>
              <w:t>ATC</w:t>
            </w:r>
          </w:p>
        </w:tc>
        <w:tc>
          <w:tcPr>
            <w:tcW w:w="7602" w:type="dxa"/>
          </w:tcPr>
          <w:p w:rsidR="00A67464" w:rsidRPr="00A73C45" w:rsidRDefault="00A67464">
            <w:pPr>
              <w:spacing w:before="60" w:after="60"/>
              <w:rPr>
                <w:sz w:val="20"/>
                <w:szCs w:val="20"/>
                <w:lang w:val="en-CA"/>
              </w:rPr>
            </w:pPr>
            <w:r w:rsidRPr="00A73C45">
              <w:rPr>
                <w:sz w:val="20"/>
                <w:szCs w:val="20"/>
                <w:lang w:val="en-CA"/>
              </w:rPr>
              <w:t>Anti-tuberculosis chemotherapy</w:t>
            </w:r>
          </w:p>
        </w:tc>
      </w:tr>
      <w:tr w:rsidR="00A73C45" w:rsidRPr="00A73C45">
        <w:tc>
          <w:tcPr>
            <w:tcW w:w="1194" w:type="dxa"/>
          </w:tcPr>
          <w:p w:rsidR="00A73C45" w:rsidRPr="00A73C45" w:rsidRDefault="00A73C45">
            <w:pPr>
              <w:spacing w:before="60" w:after="60"/>
              <w:rPr>
                <w:sz w:val="20"/>
                <w:szCs w:val="20"/>
                <w:lang w:val="en-CA"/>
              </w:rPr>
            </w:pPr>
            <w:r w:rsidRPr="00A73C45">
              <w:rPr>
                <w:sz w:val="20"/>
                <w:szCs w:val="20"/>
                <w:lang w:val="en-CA"/>
              </w:rPr>
              <w:t>COX</w:t>
            </w:r>
          </w:p>
        </w:tc>
        <w:tc>
          <w:tcPr>
            <w:tcW w:w="7602" w:type="dxa"/>
          </w:tcPr>
          <w:p w:rsidR="00A73C45" w:rsidRPr="00A73C45" w:rsidRDefault="00A73C45">
            <w:pPr>
              <w:spacing w:before="60" w:after="60"/>
              <w:rPr>
                <w:sz w:val="20"/>
                <w:szCs w:val="20"/>
                <w:lang w:val="en-CA"/>
              </w:rPr>
            </w:pPr>
            <w:r w:rsidRPr="00A73C45">
              <w:rPr>
                <w:rFonts w:cs="Arial"/>
                <w:sz w:val="20"/>
                <w:szCs w:val="20"/>
                <w:lang w:val="en-CA"/>
              </w:rPr>
              <w:t>Cyclooxygenase</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CRF</w:t>
            </w:r>
          </w:p>
        </w:tc>
        <w:tc>
          <w:tcPr>
            <w:tcW w:w="7602" w:type="dxa"/>
          </w:tcPr>
          <w:p w:rsidR="00F84AE3" w:rsidRPr="00A73C45" w:rsidRDefault="00F84AE3">
            <w:pPr>
              <w:spacing w:before="60" w:after="60"/>
              <w:rPr>
                <w:spacing w:val="55"/>
                <w:sz w:val="20"/>
                <w:szCs w:val="20"/>
                <w:lang w:val="en-CA"/>
              </w:rPr>
            </w:pPr>
            <w:r w:rsidRPr="00A73C45">
              <w:rPr>
                <w:sz w:val="20"/>
                <w:szCs w:val="20"/>
                <w:lang w:val="en-CA"/>
              </w:rPr>
              <w:t>Case Report Form</w:t>
            </w:r>
          </w:p>
        </w:tc>
      </w:tr>
      <w:tr w:rsidR="00967C97" w:rsidRPr="00A73C45">
        <w:tc>
          <w:tcPr>
            <w:tcW w:w="1194" w:type="dxa"/>
          </w:tcPr>
          <w:p w:rsidR="00967C97" w:rsidRPr="00A73C45" w:rsidRDefault="00967C97" w:rsidP="003A4A48">
            <w:pPr>
              <w:spacing w:before="60" w:after="60"/>
              <w:rPr>
                <w:sz w:val="20"/>
                <w:szCs w:val="20"/>
                <w:lang w:val="en-CA"/>
              </w:rPr>
            </w:pPr>
            <w:r>
              <w:rPr>
                <w:sz w:val="20"/>
                <w:szCs w:val="20"/>
                <w:lang w:val="en-CA"/>
              </w:rPr>
              <w:t>CSF</w:t>
            </w:r>
          </w:p>
        </w:tc>
        <w:tc>
          <w:tcPr>
            <w:tcW w:w="7602" w:type="dxa"/>
          </w:tcPr>
          <w:p w:rsidR="00967C97" w:rsidRPr="00A73C45" w:rsidRDefault="00967C97" w:rsidP="003A4A48">
            <w:pPr>
              <w:spacing w:before="60" w:after="60"/>
              <w:rPr>
                <w:sz w:val="20"/>
                <w:szCs w:val="20"/>
                <w:lang w:val="en-CA"/>
              </w:rPr>
            </w:pPr>
            <w:r>
              <w:rPr>
                <w:sz w:val="20"/>
                <w:szCs w:val="20"/>
                <w:lang w:val="en-CA"/>
              </w:rPr>
              <w:t>Cerebrospinal fluid</w:t>
            </w:r>
          </w:p>
        </w:tc>
      </w:tr>
      <w:tr w:rsidR="00F84AE3" w:rsidRPr="00A73C45">
        <w:tc>
          <w:tcPr>
            <w:tcW w:w="1194" w:type="dxa"/>
          </w:tcPr>
          <w:p w:rsidR="00F84AE3" w:rsidRPr="00A73C45" w:rsidRDefault="00F84AE3" w:rsidP="003A4A48">
            <w:pPr>
              <w:spacing w:before="60" w:after="60"/>
              <w:rPr>
                <w:sz w:val="20"/>
                <w:szCs w:val="20"/>
                <w:lang w:val="en-CA"/>
              </w:rPr>
            </w:pPr>
            <w:r w:rsidRPr="00A73C45">
              <w:rPr>
                <w:sz w:val="20"/>
                <w:szCs w:val="20"/>
                <w:lang w:val="en-CA"/>
              </w:rPr>
              <w:t>D</w:t>
            </w:r>
            <w:r w:rsidR="003A4A48" w:rsidRPr="00A73C45">
              <w:rPr>
                <w:sz w:val="20"/>
                <w:szCs w:val="20"/>
                <w:lang w:val="en-CA"/>
              </w:rPr>
              <w:t>S</w:t>
            </w:r>
            <w:r w:rsidRPr="00A73C45">
              <w:rPr>
                <w:sz w:val="20"/>
                <w:szCs w:val="20"/>
                <w:lang w:val="en-CA"/>
              </w:rPr>
              <w:t>M</w:t>
            </w:r>
            <w:r w:rsidR="003A4A48" w:rsidRPr="00A73C45">
              <w:rPr>
                <w:sz w:val="20"/>
                <w:szCs w:val="20"/>
                <w:lang w:val="en-CA"/>
              </w:rPr>
              <w:t>B</w:t>
            </w:r>
          </w:p>
        </w:tc>
        <w:tc>
          <w:tcPr>
            <w:tcW w:w="7602" w:type="dxa"/>
          </w:tcPr>
          <w:p w:rsidR="00F84AE3" w:rsidRPr="00A73C45" w:rsidRDefault="00F84AE3" w:rsidP="003A4A48">
            <w:pPr>
              <w:spacing w:before="60" w:after="60"/>
              <w:rPr>
                <w:sz w:val="20"/>
                <w:szCs w:val="20"/>
                <w:lang w:val="en-CA"/>
              </w:rPr>
            </w:pPr>
            <w:r w:rsidRPr="00A73C45">
              <w:rPr>
                <w:sz w:val="20"/>
                <w:szCs w:val="20"/>
                <w:lang w:val="en-CA"/>
              </w:rPr>
              <w:t xml:space="preserve">Data </w:t>
            </w:r>
            <w:r w:rsidR="003A4A48" w:rsidRPr="00A73C45">
              <w:rPr>
                <w:sz w:val="20"/>
                <w:szCs w:val="20"/>
                <w:lang w:val="en-CA"/>
              </w:rPr>
              <w:t>Safety Monitoring Board</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GCP</w:t>
            </w:r>
          </w:p>
        </w:tc>
        <w:tc>
          <w:tcPr>
            <w:tcW w:w="7602" w:type="dxa"/>
          </w:tcPr>
          <w:p w:rsidR="00F84AE3" w:rsidRPr="00A73C45" w:rsidRDefault="00F84AE3">
            <w:pPr>
              <w:spacing w:before="60" w:after="60"/>
              <w:rPr>
                <w:sz w:val="20"/>
                <w:szCs w:val="20"/>
                <w:lang w:val="en-CA"/>
              </w:rPr>
            </w:pPr>
            <w:r w:rsidRPr="00A73C45">
              <w:rPr>
                <w:sz w:val="20"/>
                <w:szCs w:val="20"/>
                <w:lang w:val="en-CA"/>
              </w:rPr>
              <w:t>Good Clinical Practice</w:t>
            </w:r>
          </w:p>
        </w:tc>
      </w:tr>
      <w:tr w:rsidR="00967C97" w:rsidRPr="00A73C45">
        <w:tc>
          <w:tcPr>
            <w:tcW w:w="1194" w:type="dxa"/>
          </w:tcPr>
          <w:p w:rsidR="00967C97" w:rsidRPr="00A73C45" w:rsidRDefault="00967C97">
            <w:pPr>
              <w:spacing w:before="60" w:after="60"/>
              <w:rPr>
                <w:sz w:val="20"/>
                <w:szCs w:val="20"/>
                <w:lang w:val="en-CA"/>
              </w:rPr>
            </w:pPr>
            <w:r>
              <w:rPr>
                <w:sz w:val="20"/>
                <w:szCs w:val="20"/>
                <w:lang w:val="en-CA"/>
              </w:rPr>
              <w:t>HIV</w:t>
            </w:r>
          </w:p>
        </w:tc>
        <w:tc>
          <w:tcPr>
            <w:tcW w:w="7602" w:type="dxa"/>
          </w:tcPr>
          <w:p w:rsidR="00967C97" w:rsidRPr="00A73C45" w:rsidRDefault="00967C97">
            <w:pPr>
              <w:spacing w:before="60" w:after="60"/>
              <w:rPr>
                <w:sz w:val="20"/>
                <w:szCs w:val="20"/>
                <w:lang w:val="en-CA"/>
              </w:rPr>
            </w:pPr>
            <w:r>
              <w:rPr>
                <w:sz w:val="20"/>
                <w:szCs w:val="20"/>
                <w:lang w:val="en-CA"/>
              </w:rPr>
              <w:t>Human Immunodeficiency Virus</w:t>
            </w:r>
          </w:p>
        </w:tc>
      </w:tr>
      <w:tr w:rsidR="00A67464" w:rsidRPr="00A73C45">
        <w:tc>
          <w:tcPr>
            <w:tcW w:w="1194" w:type="dxa"/>
          </w:tcPr>
          <w:p w:rsidR="00A67464" w:rsidRPr="00A73C45" w:rsidRDefault="00A67464">
            <w:pPr>
              <w:spacing w:before="60" w:after="60"/>
              <w:rPr>
                <w:sz w:val="20"/>
                <w:szCs w:val="20"/>
                <w:lang w:val="en-CA"/>
              </w:rPr>
            </w:pPr>
            <w:r w:rsidRPr="00A73C45">
              <w:rPr>
                <w:sz w:val="20"/>
                <w:szCs w:val="20"/>
                <w:lang w:val="en-CA"/>
              </w:rPr>
              <w:t>HTD</w:t>
            </w:r>
          </w:p>
        </w:tc>
        <w:tc>
          <w:tcPr>
            <w:tcW w:w="7602" w:type="dxa"/>
          </w:tcPr>
          <w:p w:rsidR="00A67464" w:rsidRPr="00A73C45" w:rsidRDefault="00A67464">
            <w:pPr>
              <w:spacing w:before="60" w:after="60"/>
              <w:rPr>
                <w:sz w:val="20"/>
                <w:szCs w:val="20"/>
                <w:lang w:val="en-CA"/>
              </w:rPr>
            </w:pPr>
            <w:r w:rsidRPr="00A73C45">
              <w:rPr>
                <w:sz w:val="20"/>
                <w:szCs w:val="20"/>
                <w:lang w:val="en-CA"/>
              </w:rPr>
              <w:t>Hospital for Tropical Diseases, Ho Chi Minh City, Vietnam</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ICF</w:t>
            </w:r>
          </w:p>
        </w:tc>
        <w:tc>
          <w:tcPr>
            <w:tcW w:w="7602" w:type="dxa"/>
          </w:tcPr>
          <w:p w:rsidR="00F84AE3" w:rsidRPr="00A73C45" w:rsidRDefault="00F84AE3">
            <w:pPr>
              <w:spacing w:before="60" w:after="60"/>
              <w:rPr>
                <w:sz w:val="20"/>
                <w:szCs w:val="20"/>
                <w:lang w:val="en-CA"/>
              </w:rPr>
            </w:pPr>
            <w:r w:rsidRPr="00A73C45">
              <w:rPr>
                <w:sz w:val="20"/>
                <w:szCs w:val="20"/>
                <w:lang w:val="en-CA"/>
              </w:rPr>
              <w:t>Informed Consent Form</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ICH</w:t>
            </w:r>
          </w:p>
        </w:tc>
        <w:tc>
          <w:tcPr>
            <w:tcW w:w="7602" w:type="dxa"/>
          </w:tcPr>
          <w:p w:rsidR="00F84AE3" w:rsidRPr="00A73C45" w:rsidRDefault="00F84AE3">
            <w:pPr>
              <w:spacing w:before="60" w:after="60"/>
              <w:rPr>
                <w:sz w:val="20"/>
                <w:szCs w:val="20"/>
                <w:lang w:val="en-CA"/>
              </w:rPr>
            </w:pPr>
            <w:r w:rsidRPr="00A73C45">
              <w:rPr>
                <w:sz w:val="20"/>
                <w:szCs w:val="20"/>
                <w:lang w:val="en-CA"/>
              </w:rPr>
              <w:t>International Conference of Harmonisation</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IMP</w:t>
            </w:r>
          </w:p>
        </w:tc>
        <w:tc>
          <w:tcPr>
            <w:tcW w:w="7602" w:type="dxa"/>
          </w:tcPr>
          <w:p w:rsidR="00F84AE3" w:rsidRPr="00A73C45" w:rsidRDefault="00F84AE3">
            <w:pPr>
              <w:spacing w:before="60" w:after="60"/>
              <w:rPr>
                <w:sz w:val="20"/>
                <w:szCs w:val="20"/>
                <w:lang w:val="en-CA"/>
              </w:rPr>
            </w:pPr>
            <w:r w:rsidRPr="00A73C45">
              <w:rPr>
                <w:sz w:val="20"/>
                <w:szCs w:val="20"/>
                <w:lang w:val="en-CA"/>
              </w:rPr>
              <w:t>Investigational Medicinal Product</w:t>
            </w:r>
          </w:p>
        </w:tc>
      </w:tr>
      <w:tr w:rsidR="00967C97" w:rsidRPr="00A73C45">
        <w:tc>
          <w:tcPr>
            <w:tcW w:w="1194" w:type="dxa"/>
          </w:tcPr>
          <w:p w:rsidR="00967C97" w:rsidRPr="0036319C" w:rsidRDefault="00967C97">
            <w:pPr>
              <w:spacing w:before="60" w:after="60"/>
              <w:rPr>
                <w:sz w:val="20"/>
                <w:szCs w:val="20"/>
                <w:lang w:val="en-CA"/>
              </w:rPr>
            </w:pPr>
            <w:r w:rsidRPr="0036319C">
              <w:rPr>
                <w:sz w:val="20"/>
                <w:szCs w:val="20"/>
                <w:lang w:val="en-CA"/>
              </w:rPr>
              <w:t>LTA4H</w:t>
            </w:r>
          </w:p>
        </w:tc>
        <w:tc>
          <w:tcPr>
            <w:tcW w:w="7602" w:type="dxa"/>
          </w:tcPr>
          <w:p w:rsidR="00967C97" w:rsidRPr="0036319C" w:rsidRDefault="00967C97">
            <w:pPr>
              <w:spacing w:before="60" w:after="60"/>
              <w:rPr>
                <w:rFonts w:cs="Arial"/>
                <w:sz w:val="20"/>
                <w:szCs w:val="20"/>
                <w:lang w:val="en-CA"/>
              </w:rPr>
            </w:pPr>
            <w:r w:rsidRPr="0036319C">
              <w:rPr>
                <w:rFonts w:cs="Arial"/>
                <w:snapToGrid w:val="0"/>
                <w:sz w:val="20"/>
                <w:szCs w:val="20"/>
                <w:lang w:val="en-CA"/>
              </w:rPr>
              <w:t>Leukotriene A4 hydrolase</w:t>
            </w:r>
          </w:p>
        </w:tc>
      </w:tr>
      <w:tr w:rsidR="00A73C45" w:rsidRPr="00A73C45">
        <w:tc>
          <w:tcPr>
            <w:tcW w:w="1194" w:type="dxa"/>
          </w:tcPr>
          <w:p w:rsidR="00A73C45" w:rsidRPr="00A73C45" w:rsidRDefault="00A73C45">
            <w:pPr>
              <w:spacing w:before="60" w:after="60"/>
              <w:rPr>
                <w:sz w:val="20"/>
                <w:szCs w:val="20"/>
                <w:lang w:val="en-CA"/>
              </w:rPr>
            </w:pPr>
            <w:r w:rsidRPr="00A73C45">
              <w:rPr>
                <w:sz w:val="20"/>
                <w:szCs w:val="20"/>
                <w:lang w:val="en-CA"/>
              </w:rPr>
              <w:t>MRI</w:t>
            </w:r>
          </w:p>
        </w:tc>
        <w:tc>
          <w:tcPr>
            <w:tcW w:w="7602" w:type="dxa"/>
          </w:tcPr>
          <w:p w:rsidR="00A73C45" w:rsidRPr="00A73C45" w:rsidRDefault="00A73C45">
            <w:pPr>
              <w:spacing w:before="60" w:after="60"/>
              <w:rPr>
                <w:rFonts w:cs="Arial"/>
                <w:sz w:val="20"/>
                <w:szCs w:val="20"/>
                <w:lang w:val="en-CA"/>
              </w:rPr>
            </w:pPr>
            <w:r w:rsidRPr="00A73C45">
              <w:rPr>
                <w:rFonts w:cs="Arial"/>
                <w:sz w:val="20"/>
                <w:szCs w:val="20"/>
                <w:lang w:val="en-CA"/>
              </w:rPr>
              <w:t>Magnetic resonance imaging</w:t>
            </w:r>
          </w:p>
        </w:tc>
      </w:tr>
      <w:tr w:rsidR="00A73C45" w:rsidRPr="00A73C45">
        <w:tc>
          <w:tcPr>
            <w:tcW w:w="1194" w:type="dxa"/>
          </w:tcPr>
          <w:p w:rsidR="00A73C45" w:rsidRPr="00A73C45" w:rsidRDefault="00A73C45">
            <w:pPr>
              <w:spacing w:before="60" w:after="60"/>
              <w:rPr>
                <w:sz w:val="20"/>
                <w:szCs w:val="20"/>
                <w:lang w:val="en-CA"/>
              </w:rPr>
            </w:pPr>
            <w:r w:rsidRPr="00A73C45">
              <w:rPr>
                <w:sz w:val="20"/>
                <w:szCs w:val="20"/>
                <w:lang w:val="en-CA"/>
              </w:rPr>
              <w:t>NSAID</w:t>
            </w:r>
          </w:p>
        </w:tc>
        <w:tc>
          <w:tcPr>
            <w:tcW w:w="7602" w:type="dxa"/>
          </w:tcPr>
          <w:p w:rsidR="00A73C45" w:rsidRPr="00A73C45" w:rsidRDefault="00A73C45">
            <w:pPr>
              <w:spacing w:before="60" w:after="60"/>
              <w:rPr>
                <w:sz w:val="20"/>
                <w:szCs w:val="20"/>
                <w:lang w:val="en-CA"/>
              </w:rPr>
            </w:pPr>
            <w:r w:rsidRPr="00A73C45">
              <w:rPr>
                <w:rFonts w:cs="Arial"/>
                <w:sz w:val="20"/>
                <w:szCs w:val="20"/>
                <w:lang w:val="en-CA"/>
              </w:rPr>
              <w:t>Non-steroidal anti-inflammatory drug</w:t>
            </w:r>
          </w:p>
        </w:tc>
      </w:tr>
      <w:tr w:rsidR="00A67464" w:rsidRPr="00A73C45">
        <w:tc>
          <w:tcPr>
            <w:tcW w:w="1194" w:type="dxa"/>
          </w:tcPr>
          <w:p w:rsidR="00A67464" w:rsidRPr="00A73C45" w:rsidRDefault="00A67464">
            <w:pPr>
              <w:spacing w:before="60" w:after="60"/>
              <w:rPr>
                <w:sz w:val="20"/>
                <w:szCs w:val="20"/>
                <w:lang w:val="en-CA"/>
              </w:rPr>
            </w:pPr>
            <w:r w:rsidRPr="00A73C45">
              <w:rPr>
                <w:sz w:val="20"/>
                <w:szCs w:val="20"/>
                <w:lang w:val="en-CA"/>
              </w:rPr>
              <w:t>OUCRU</w:t>
            </w:r>
          </w:p>
        </w:tc>
        <w:tc>
          <w:tcPr>
            <w:tcW w:w="7602" w:type="dxa"/>
          </w:tcPr>
          <w:p w:rsidR="00A67464" w:rsidRPr="00A73C45" w:rsidRDefault="00A67464">
            <w:pPr>
              <w:spacing w:before="60" w:after="60"/>
              <w:rPr>
                <w:sz w:val="20"/>
                <w:szCs w:val="20"/>
                <w:lang w:val="en-CA"/>
              </w:rPr>
            </w:pPr>
            <w:r w:rsidRPr="00A73C45">
              <w:rPr>
                <w:sz w:val="20"/>
                <w:szCs w:val="20"/>
                <w:lang w:val="en-CA"/>
              </w:rPr>
              <w:t>Oxford University Clinical Research Unit</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OXTREC</w:t>
            </w:r>
          </w:p>
        </w:tc>
        <w:tc>
          <w:tcPr>
            <w:tcW w:w="7602" w:type="dxa"/>
          </w:tcPr>
          <w:p w:rsidR="00F84AE3" w:rsidRPr="00A73C45" w:rsidRDefault="00F84AE3">
            <w:pPr>
              <w:spacing w:before="60" w:after="60"/>
              <w:rPr>
                <w:sz w:val="20"/>
                <w:szCs w:val="20"/>
                <w:lang w:val="en-CA"/>
              </w:rPr>
            </w:pPr>
            <w:r w:rsidRPr="00A73C45">
              <w:rPr>
                <w:sz w:val="20"/>
                <w:szCs w:val="20"/>
                <w:lang w:val="en-CA"/>
              </w:rPr>
              <w:t>Oxford Tropical Research Ethics Committee</w:t>
            </w:r>
          </w:p>
        </w:tc>
      </w:tr>
      <w:tr w:rsidR="00A73C45" w:rsidRPr="00A73C45">
        <w:tc>
          <w:tcPr>
            <w:tcW w:w="1194" w:type="dxa"/>
          </w:tcPr>
          <w:p w:rsidR="00A73C45" w:rsidRPr="00A73C45" w:rsidRDefault="00A73C45">
            <w:pPr>
              <w:spacing w:before="60" w:after="60"/>
              <w:rPr>
                <w:sz w:val="20"/>
                <w:szCs w:val="20"/>
                <w:lang w:val="en-CA"/>
              </w:rPr>
            </w:pPr>
            <w:r w:rsidRPr="00A73C45">
              <w:rPr>
                <w:rFonts w:cs="Arial"/>
                <w:sz w:val="20"/>
                <w:szCs w:val="20"/>
                <w:lang w:val="en-CA"/>
              </w:rPr>
              <w:t>PG</w:t>
            </w:r>
          </w:p>
        </w:tc>
        <w:tc>
          <w:tcPr>
            <w:tcW w:w="7602" w:type="dxa"/>
          </w:tcPr>
          <w:p w:rsidR="00A73C45" w:rsidRPr="00A73C45" w:rsidRDefault="00A73C45">
            <w:pPr>
              <w:spacing w:before="60" w:after="60"/>
              <w:rPr>
                <w:sz w:val="20"/>
                <w:szCs w:val="20"/>
                <w:lang w:val="en-CA"/>
              </w:rPr>
            </w:pPr>
            <w:r w:rsidRPr="00A73C45">
              <w:rPr>
                <w:rFonts w:cs="Arial"/>
                <w:sz w:val="20"/>
                <w:szCs w:val="20"/>
                <w:lang w:val="en-CA"/>
              </w:rPr>
              <w:t>Prostaglandins</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PI</w:t>
            </w:r>
          </w:p>
        </w:tc>
        <w:tc>
          <w:tcPr>
            <w:tcW w:w="7602" w:type="dxa"/>
          </w:tcPr>
          <w:p w:rsidR="00F84AE3" w:rsidRPr="00A73C45" w:rsidRDefault="00F84AE3">
            <w:pPr>
              <w:spacing w:before="60" w:after="60"/>
              <w:rPr>
                <w:sz w:val="20"/>
                <w:szCs w:val="20"/>
                <w:lang w:val="en-CA"/>
              </w:rPr>
            </w:pPr>
            <w:r w:rsidRPr="00A73C45">
              <w:rPr>
                <w:sz w:val="20"/>
                <w:szCs w:val="20"/>
                <w:lang w:val="en-CA"/>
              </w:rPr>
              <w:t>Principal Investigator</w:t>
            </w:r>
          </w:p>
        </w:tc>
      </w:tr>
      <w:tr w:rsidR="006B2392" w:rsidRPr="00A73C45">
        <w:tc>
          <w:tcPr>
            <w:tcW w:w="1194" w:type="dxa"/>
          </w:tcPr>
          <w:p w:rsidR="006B2392" w:rsidRPr="00A73C45" w:rsidRDefault="006B2392">
            <w:pPr>
              <w:spacing w:before="60" w:after="60"/>
              <w:rPr>
                <w:sz w:val="20"/>
                <w:szCs w:val="20"/>
                <w:lang w:val="en-CA"/>
              </w:rPr>
            </w:pPr>
            <w:r>
              <w:rPr>
                <w:sz w:val="20"/>
                <w:szCs w:val="20"/>
                <w:lang w:val="en-CA"/>
              </w:rPr>
              <w:t>PV</w:t>
            </w:r>
          </w:p>
        </w:tc>
        <w:tc>
          <w:tcPr>
            <w:tcW w:w="7602" w:type="dxa"/>
          </w:tcPr>
          <w:p w:rsidR="006B2392" w:rsidRPr="00A73C45" w:rsidRDefault="006B2392">
            <w:pPr>
              <w:spacing w:before="60" w:after="60"/>
              <w:rPr>
                <w:sz w:val="20"/>
                <w:szCs w:val="20"/>
                <w:lang w:val="en-CA"/>
              </w:rPr>
            </w:pPr>
            <w:r>
              <w:rPr>
                <w:sz w:val="20"/>
                <w:szCs w:val="20"/>
                <w:lang w:val="en-CA"/>
              </w:rPr>
              <w:t>Protocol Violation</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SAE</w:t>
            </w:r>
          </w:p>
        </w:tc>
        <w:tc>
          <w:tcPr>
            <w:tcW w:w="7602" w:type="dxa"/>
          </w:tcPr>
          <w:p w:rsidR="00F84AE3" w:rsidRPr="00A73C45" w:rsidRDefault="00F84AE3">
            <w:pPr>
              <w:spacing w:before="60" w:after="60"/>
              <w:rPr>
                <w:sz w:val="20"/>
                <w:szCs w:val="20"/>
                <w:lang w:val="en-CA"/>
              </w:rPr>
            </w:pPr>
            <w:r w:rsidRPr="00A73C45">
              <w:rPr>
                <w:sz w:val="20"/>
                <w:szCs w:val="20"/>
                <w:lang w:val="en-CA"/>
              </w:rPr>
              <w:t>Serious Adverse Event</w:t>
            </w:r>
          </w:p>
        </w:tc>
      </w:tr>
      <w:tr w:rsidR="00A67464" w:rsidRPr="00A73C45">
        <w:tc>
          <w:tcPr>
            <w:tcW w:w="1194" w:type="dxa"/>
          </w:tcPr>
          <w:p w:rsidR="00A67464" w:rsidRPr="00A73C45" w:rsidRDefault="00A67464">
            <w:pPr>
              <w:spacing w:before="60" w:after="60"/>
              <w:rPr>
                <w:sz w:val="20"/>
                <w:szCs w:val="20"/>
                <w:lang w:val="en-CA"/>
              </w:rPr>
            </w:pPr>
            <w:r w:rsidRPr="00A73C45">
              <w:rPr>
                <w:sz w:val="20"/>
                <w:szCs w:val="20"/>
                <w:lang w:val="en-CA"/>
              </w:rPr>
              <w:t>TBM</w:t>
            </w:r>
          </w:p>
        </w:tc>
        <w:tc>
          <w:tcPr>
            <w:tcW w:w="7602" w:type="dxa"/>
          </w:tcPr>
          <w:p w:rsidR="00A67464" w:rsidRPr="00A73C45" w:rsidRDefault="00A67464">
            <w:pPr>
              <w:spacing w:before="60" w:after="60"/>
              <w:rPr>
                <w:sz w:val="20"/>
                <w:szCs w:val="20"/>
                <w:lang w:val="en-CA"/>
              </w:rPr>
            </w:pPr>
            <w:r w:rsidRPr="00A73C45">
              <w:rPr>
                <w:sz w:val="20"/>
                <w:szCs w:val="20"/>
                <w:lang w:val="en-CA"/>
              </w:rPr>
              <w:t>Tuberculous meningitis</w:t>
            </w:r>
          </w:p>
        </w:tc>
      </w:tr>
      <w:tr w:rsidR="00F84AE3" w:rsidRPr="00A73C45">
        <w:tc>
          <w:tcPr>
            <w:tcW w:w="1194" w:type="dxa"/>
          </w:tcPr>
          <w:p w:rsidR="00F84AE3" w:rsidRPr="00A73C45" w:rsidRDefault="00F84AE3">
            <w:pPr>
              <w:spacing w:before="60" w:after="60"/>
              <w:rPr>
                <w:sz w:val="20"/>
                <w:szCs w:val="20"/>
                <w:lang w:val="en-CA"/>
              </w:rPr>
            </w:pPr>
            <w:r w:rsidRPr="00A73C45">
              <w:rPr>
                <w:sz w:val="20"/>
                <w:szCs w:val="20"/>
                <w:lang w:val="en-CA"/>
              </w:rPr>
              <w:t>TMF</w:t>
            </w:r>
          </w:p>
        </w:tc>
        <w:tc>
          <w:tcPr>
            <w:tcW w:w="7602" w:type="dxa"/>
          </w:tcPr>
          <w:p w:rsidR="00F84AE3" w:rsidRPr="00A73C45" w:rsidRDefault="00F84AE3">
            <w:pPr>
              <w:spacing w:before="60" w:after="60"/>
              <w:rPr>
                <w:sz w:val="20"/>
                <w:szCs w:val="20"/>
                <w:lang w:val="en-CA"/>
              </w:rPr>
            </w:pPr>
            <w:r w:rsidRPr="00A73C45">
              <w:rPr>
                <w:sz w:val="20"/>
                <w:szCs w:val="20"/>
                <w:lang w:val="en-CA"/>
              </w:rPr>
              <w:t>Trial Master File</w:t>
            </w:r>
          </w:p>
        </w:tc>
      </w:tr>
      <w:tr w:rsidR="00A73C45" w:rsidRPr="00A73C45">
        <w:tc>
          <w:tcPr>
            <w:tcW w:w="1194" w:type="dxa"/>
          </w:tcPr>
          <w:p w:rsidR="00A73C45" w:rsidRPr="00A73C45" w:rsidRDefault="00A73C45">
            <w:pPr>
              <w:spacing w:before="60" w:after="60"/>
              <w:rPr>
                <w:sz w:val="20"/>
                <w:szCs w:val="20"/>
                <w:lang w:val="en-CA"/>
              </w:rPr>
            </w:pPr>
            <w:r w:rsidRPr="00A73C45">
              <w:rPr>
                <w:sz w:val="20"/>
                <w:szCs w:val="20"/>
                <w:lang w:val="en-CA"/>
              </w:rPr>
              <w:t>TXA2</w:t>
            </w:r>
          </w:p>
        </w:tc>
        <w:tc>
          <w:tcPr>
            <w:tcW w:w="7602" w:type="dxa"/>
          </w:tcPr>
          <w:p w:rsidR="00A73C45" w:rsidRPr="00A73C45" w:rsidRDefault="00A73C45">
            <w:pPr>
              <w:spacing w:before="60" w:after="60"/>
              <w:rPr>
                <w:sz w:val="20"/>
                <w:szCs w:val="20"/>
                <w:lang w:val="en-CA"/>
              </w:rPr>
            </w:pPr>
            <w:r w:rsidRPr="00A73C45">
              <w:rPr>
                <w:rFonts w:cs="Arial"/>
                <w:color w:val="292526"/>
                <w:sz w:val="20"/>
                <w:szCs w:val="20"/>
                <w:lang w:val="en-CA"/>
              </w:rPr>
              <w:t>Thromboxane A2</w:t>
            </w:r>
          </w:p>
        </w:tc>
      </w:tr>
      <w:tr w:rsidR="006B2392" w:rsidRPr="00A73C45">
        <w:tc>
          <w:tcPr>
            <w:tcW w:w="1194" w:type="dxa"/>
          </w:tcPr>
          <w:p w:rsidR="006B2392" w:rsidRPr="00A73C45" w:rsidRDefault="006B2392">
            <w:pPr>
              <w:spacing w:before="60" w:after="60"/>
              <w:rPr>
                <w:sz w:val="20"/>
                <w:szCs w:val="20"/>
                <w:lang w:val="en-CA"/>
              </w:rPr>
            </w:pPr>
            <w:r>
              <w:rPr>
                <w:sz w:val="20"/>
                <w:szCs w:val="20"/>
                <w:lang w:val="en-CA"/>
              </w:rPr>
              <w:t>USAE</w:t>
            </w:r>
          </w:p>
        </w:tc>
        <w:tc>
          <w:tcPr>
            <w:tcW w:w="7602" w:type="dxa"/>
          </w:tcPr>
          <w:p w:rsidR="006B2392" w:rsidRPr="00A73C45" w:rsidRDefault="006B2392">
            <w:pPr>
              <w:spacing w:before="60" w:after="60"/>
              <w:rPr>
                <w:rFonts w:cs="Arial"/>
                <w:color w:val="292526"/>
                <w:sz w:val="20"/>
                <w:szCs w:val="20"/>
                <w:lang w:val="en-CA"/>
              </w:rPr>
            </w:pPr>
            <w:r w:rsidRPr="00A73C45">
              <w:rPr>
                <w:sz w:val="20"/>
                <w:szCs w:val="20"/>
                <w:lang w:val="en-CA"/>
              </w:rPr>
              <w:t xml:space="preserve">Unexpected Serious Adverse </w:t>
            </w:r>
            <w:r>
              <w:rPr>
                <w:sz w:val="20"/>
                <w:szCs w:val="20"/>
                <w:lang w:val="en-CA"/>
              </w:rPr>
              <w:t>Event</w:t>
            </w:r>
          </w:p>
        </w:tc>
      </w:tr>
    </w:tbl>
    <w:p w:rsidR="00F84AE3" w:rsidRPr="00A73C45" w:rsidRDefault="00F84AE3">
      <w:pPr>
        <w:pStyle w:val="Heading1"/>
        <w:rPr>
          <w:lang w:val="en-CA"/>
        </w:rPr>
      </w:pPr>
      <w:bookmarkStart w:id="7" w:name="_Toc493663533"/>
      <w:bookmarkStart w:id="8" w:name="_Toc531145809"/>
      <w:bookmarkStart w:id="9" w:name="_Toc386848217"/>
      <w:bookmarkStart w:id="10" w:name="_Toc386848278"/>
      <w:bookmarkStart w:id="11" w:name="_Toc386848339"/>
      <w:bookmarkStart w:id="12" w:name="_Toc386848400"/>
      <w:bookmarkStart w:id="13" w:name="_Toc386848461"/>
      <w:bookmarkStart w:id="14" w:name="_Toc386849330"/>
      <w:bookmarkStart w:id="15" w:name="_Toc386862498"/>
      <w:bookmarkStart w:id="16" w:name="_Toc493663530"/>
      <w:bookmarkStart w:id="17" w:name="_Toc531145806"/>
      <w:r w:rsidRPr="00A73C45">
        <w:rPr>
          <w:lang w:val="en-CA"/>
        </w:rPr>
        <w:br w:type="page"/>
      </w:r>
      <w:bookmarkStart w:id="18" w:name="_Toc387306473"/>
      <w:r w:rsidRPr="00A73C45">
        <w:rPr>
          <w:lang w:val="en-CA"/>
        </w:rPr>
        <w:lastRenderedPageBreak/>
        <w:t>BACKGROUND AND RATIONALE</w:t>
      </w:r>
      <w:bookmarkEnd w:id="7"/>
      <w:bookmarkEnd w:id="8"/>
      <w:bookmarkEnd w:id="18"/>
    </w:p>
    <w:p w:rsidR="00443409" w:rsidRPr="00A73C45" w:rsidRDefault="00443409" w:rsidP="00443409">
      <w:pPr>
        <w:rPr>
          <w:rFonts w:cs="Arial"/>
          <w:lang w:val="en-CA"/>
        </w:rPr>
      </w:pPr>
      <w:r w:rsidRPr="00A73C45">
        <w:rPr>
          <w:rFonts w:cs="Arial"/>
          <w:lang w:val="en-CA"/>
        </w:rPr>
        <w:t xml:space="preserve">Tuberculous meningitis (TBM) is the most devastating form of tuberculosis, killing or maiming around half of all sufferers </w:t>
      </w:r>
      <w:hyperlink w:anchor="_ENREF_1" w:tooltip="Thwaites, 2005 #331" w:history="1">
        <w:r w:rsidR="00261CB3" w:rsidRPr="00A73C45">
          <w:rPr>
            <w:rFonts w:cs="Arial"/>
            <w:lang w:val="en-CA"/>
          </w:rPr>
          <w:fldChar w:fldCharType="begin"/>
        </w:r>
        <w:r w:rsidRPr="00A73C45">
          <w:rPr>
            <w:rFonts w:cs="Arial"/>
            <w:lang w:val="en-CA"/>
          </w:rPr>
          <w:instrText xml:space="preserve"> ADDIN EN.CITE &lt;EndNote&gt;&lt;Cite&gt;&lt;Author&gt;Thwaites&lt;/Author&gt;&lt;Year&gt;2005&lt;/Year&gt;&lt;RecNum&gt;331&lt;/RecNum&gt;&lt;DisplayText&gt;&lt;style face="superscript"&gt;1&lt;/style&gt;&lt;/DisplayText&gt;&lt;record&gt;&lt;rec-number&gt;331&lt;/rec-number&gt;&lt;foreign-keys&gt;&lt;key app="EN" db-id="z2rtxr5xntetpoedesspswdyda2se0zarvpa"&gt;331&lt;/key&gt;&lt;/foreign-keys&gt;&lt;ref-type name="Journal Article"&gt;17&lt;/ref-type&gt;&lt;contributors&gt;&lt;authors&gt;&lt;author&gt;Thwaites, G. E.&lt;/author&gt;&lt;author&gt;Tran, T. H.&lt;/author&gt;&lt;/authors&gt;&lt;/contributors&gt;&lt;auth-address&gt;Centre for Tropical Medicine, Nuffield Department of Clinical Medicine, Oxford University, UK. guy.thwaites@btinternet.com &amp;lt;guy.thwaites@btinternet.com&amp;gt;&lt;/auth-address&gt;&lt;titles&gt;&lt;title&gt;Tuberculous meningitis: many questions, too few answers&lt;/title&gt;&lt;secondary-title&gt;Lancet Neurol&lt;/secondary-title&gt;&lt;alt-title&gt;Lancet neurology&lt;/alt-title&gt;&lt;/titles&gt;&lt;periodical&gt;&lt;full-title&gt;Lancet Neurol&lt;/full-title&gt;&lt;abbr-1&gt;Lancet neurology&lt;/abbr-1&gt;&lt;/periodical&gt;&lt;alt-periodical&gt;&lt;full-title&gt;Lancet Neurol&lt;/full-title&gt;&lt;abbr-1&gt;Lancet neurology&lt;/abbr-1&gt;&lt;/alt-periodical&gt;&lt;pages&gt;160-70&lt;/pages&gt;&lt;volume&gt;4&lt;/volume&gt;&lt;number&gt;3&lt;/number&gt;&lt;keywords&gt;&lt;keyword&gt;Humans&lt;/keyword&gt;&lt;keyword&gt;Research Support, Non-U.S. Gov&amp;apos;t&lt;/keyword&gt;&lt;keyword&gt;*Tuberculosis, Meningeal/diagnosis/etiology/therapy&lt;/keyword&gt;&lt;/keywords&gt;&lt;dates&gt;&lt;year&gt;2005&lt;/year&gt;&lt;pub-dates&gt;&lt;date&gt;Mar&lt;/date&gt;&lt;/pub-dates&gt;&lt;/dates&gt;&lt;isbn&gt;1474-4422 (Print)&lt;/isbn&gt;&lt;accession-num&gt;15721826&lt;/accession-num&gt;&lt;urls&gt;&lt;related-urls&gt;&lt;url&gt;http://www.ncbi.nlm.nih.gov/entrez/query.fcgi?cmd=Retrieve&amp;amp;db=PubMed&amp;amp;dopt=Citation&amp;amp;list_uids=15721826 &lt;/url&gt;&lt;/related-urls&gt;&lt;/urls&gt;&lt;language&gt;eng&lt;/language&gt;&lt;/record&gt;&lt;/Cite&gt;&lt;/EndNote&gt;</w:instrText>
        </w:r>
        <w:r w:rsidR="00261CB3" w:rsidRPr="00A73C45">
          <w:rPr>
            <w:rFonts w:cs="Arial"/>
            <w:lang w:val="en-CA"/>
          </w:rPr>
          <w:fldChar w:fldCharType="separate"/>
        </w:r>
        <w:r w:rsidRPr="00A73C45">
          <w:rPr>
            <w:rFonts w:cs="Arial"/>
            <w:noProof/>
            <w:vertAlign w:val="superscript"/>
            <w:lang w:val="en-CA"/>
          </w:rPr>
          <w:t>1</w:t>
        </w:r>
        <w:r w:rsidR="00261CB3" w:rsidRPr="00A73C45">
          <w:rPr>
            <w:rFonts w:cs="Arial"/>
            <w:lang w:val="en-CA"/>
          </w:rPr>
          <w:fldChar w:fldCharType="end"/>
        </w:r>
      </w:hyperlink>
      <w:r w:rsidRPr="00A73C45">
        <w:rPr>
          <w:rFonts w:cs="Arial"/>
          <w:lang w:val="en-CA"/>
        </w:rPr>
        <w:t xml:space="preserve">. There are three broad approaches to improving outcome: earlier diagnosis and treatment with anti-tuberculosis chemotherapy (ATC), enhancing anti-microbial killing by optimising or improving standard ATC, and controlling the intra-cerebral inflammatory response. Studies performed nearly a decade ago at the Hospital for Tropical Diseases (HTD), Ho Chi Minh City, demonstrated how simple clinical and laboratory methods assist in early TBM diagnosis </w:t>
      </w:r>
      <w:hyperlink w:anchor="_ENREF_2" w:tooltip="Thwaites, 2002 #289" w:history="1">
        <w:r w:rsidR="00261CB3" w:rsidRPr="00A73C45">
          <w:rPr>
            <w:rFonts w:cs="Arial"/>
            <w:lang w:val="en-CA"/>
          </w:rPr>
          <w:fldChar w:fldCharType="begin">
            <w:fldData xml:space="preserve">PEVuZE5vdGU+PENpdGU+PEF1dGhvcj5UaHdhaXRlczwvQXV0aG9yPjxZZWFyPjIwMDI8L1llYXI+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PEVuZE5vdGU+PENpdGU+PEF1dGhvcj5UaHdhaXRlczwvQXV0aG9yPjxZZWFyPjIwMDI8L1llYXI+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2-4</w:t>
        </w:r>
        <w:r w:rsidR="00261CB3" w:rsidRPr="00A73C45">
          <w:rPr>
            <w:rFonts w:cs="Arial"/>
            <w:lang w:val="en-CA"/>
          </w:rPr>
          <w:fldChar w:fldCharType="end"/>
        </w:r>
      </w:hyperlink>
      <w:r w:rsidRPr="00A73C45">
        <w:rPr>
          <w:rFonts w:cs="Arial"/>
          <w:lang w:val="en-CA"/>
        </w:rPr>
        <w:t xml:space="preserve"> and that adjunctive corticosteroids reduce mortality from the disease </w:t>
      </w:r>
      <w:hyperlink w:anchor="_ENREF_5" w:tooltip="Thwaites, 2004 #332" w:history="1">
        <w:r w:rsidR="00261CB3" w:rsidRPr="00A73C45">
          <w:rPr>
            <w:rFonts w:cs="Arial"/>
            <w:lang w:val="en-CA"/>
          </w:rPr>
          <w:fldChar w:fldCharType="begin">
            <w:fldData xml:space="preserve">PEVuZE5vdGU+PENpdGU+PEF1dGhvcj5UaHdhaXRlczwvQXV0aG9yPjxZZWFyPjIwMDQ8L1llYXI+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Y2FsPjxwYWdlcz4xNzQxLTUxPC9wYWdlcz48dm9sdW1lPjM1MTwvdm9sdW1lPjxudW1iZXI+MTc8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PEVuZE5vdGU+PENpdGU+PEF1dGhvcj5UaHdhaXRlczwvQXV0aG9yPjxZZWFyPjIwMDQ8L1llYXI+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Y2FsPjxwYWdlcz4xNzQxLTUxPC9wYWdlcz48dm9sdW1lPjM1MTwvdm9sdW1lPjxudW1iZXI+MTc8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5</w:t>
        </w:r>
        <w:r w:rsidR="00261CB3" w:rsidRPr="00A73C45">
          <w:rPr>
            <w:rFonts w:cs="Arial"/>
            <w:lang w:val="en-CA"/>
          </w:rPr>
          <w:fldChar w:fldCharType="end"/>
        </w:r>
      </w:hyperlink>
      <w:r w:rsidRPr="00A73C45">
        <w:rPr>
          <w:rFonts w:cs="Arial"/>
          <w:lang w:val="en-CA"/>
        </w:rPr>
        <w:t>. The current HTD/OUCRU trial (</w:t>
      </w:r>
      <w:r w:rsidR="003C236F" w:rsidRPr="00A73C45">
        <w:rPr>
          <w:rFonts w:cs="Arial"/>
          <w:lang w:val="en-CA"/>
        </w:rPr>
        <w:t>05TB</w:t>
      </w:r>
      <w:r w:rsidRPr="00A73C45">
        <w:rPr>
          <w:rFonts w:cs="Arial"/>
          <w:lang w:val="en-CA"/>
        </w:rPr>
        <w:t xml:space="preserve">) examines the hypothesis that enhanced early bacterial killing with high-dose rifampicin and levofloxacin will increase survival from TBM </w:t>
      </w:r>
      <w:hyperlink w:anchor="_ENREF_6" w:tooltip="Heemskerk, 2011 #2189" w:history="1">
        <w:r w:rsidR="00261CB3" w:rsidRPr="00A73C45">
          <w:rPr>
            <w:rFonts w:cs="Arial"/>
            <w:lang w:val="en-CA"/>
          </w:rPr>
          <w:fldChar w:fldCharType="begin">
            <w:fldData xml:space="preserve">PEVuZE5vdGU+PENpdGU+PEF1dGhvcj5IZWVtc2tlcms8L0F1dGhvcj48WWVhcj4yMDExPC9ZZWFy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PEVuZE5vdGU+PENpdGU+PEF1dGhvcj5IZWVtc2tlcms8L0F1dGhvcj48WWVhcj4yMDExPC9ZZWFy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6</w:t>
        </w:r>
        <w:r w:rsidR="00261CB3" w:rsidRPr="00A73C45">
          <w:rPr>
            <w:rFonts w:cs="Arial"/>
            <w:lang w:val="en-CA"/>
          </w:rPr>
          <w:fldChar w:fldCharType="end"/>
        </w:r>
      </w:hyperlink>
      <w:r w:rsidRPr="00A73C45">
        <w:rPr>
          <w:rFonts w:cs="Arial"/>
          <w:lang w:val="en-CA"/>
        </w:rPr>
        <w:t xml:space="preserve">. The trial </w:t>
      </w:r>
      <w:r w:rsidR="002D0FCF" w:rsidRPr="00A73C45">
        <w:rPr>
          <w:rFonts w:cs="Arial"/>
          <w:lang w:val="en-CA"/>
        </w:rPr>
        <w:t xml:space="preserve"> complete</w:t>
      </w:r>
      <w:r w:rsidR="0066017A">
        <w:rPr>
          <w:rFonts w:cs="Arial"/>
          <w:lang w:val="en-CA"/>
        </w:rPr>
        <w:t>d</w:t>
      </w:r>
      <w:r w:rsidR="002D0FCF" w:rsidRPr="00A73C45">
        <w:rPr>
          <w:rFonts w:cs="Arial"/>
          <w:lang w:val="en-CA"/>
        </w:rPr>
        <w:t xml:space="preserve"> recruitment of </w:t>
      </w:r>
      <w:r w:rsidR="0066017A">
        <w:rPr>
          <w:rFonts w:cs="Arial"/>
          <w:lang w:val="en-CA"/>
        </w:rPr>
        <w:t>817</w:t>
      </w:r>
      <w:r w:rsidR="002D0FCF" w:rsidRPr="00A73C45">
        <w:rPr>
          <w:rFonts w:cs="Arial"/>
          <w:lang w:val="en-CA"/>
        </w:rPr>
        <w:t xml:space="preserve"> adults with TBM in </w:t>
      </w:r>
      <w:r w:rsidR="0066017A">
        <w:rPr>
          <w:rFonts w:cs="Arial"/>
          <w:lang w:val="en-CA"/>
        </w:rPr>
        <w:t>June</w:t>
      </w:r>
      <w:r w:rsidR="002D0FCF" w:rsidRPr="00A73C45">
        <w:rPr>
          <w:rFonts w:cs="Arial"/>
          <w:lang w:val="en-CA"/>
        </w:rPr>
        <w:t xml:space="preserve"> 2014</w:t>
      </w:r>
      <w:r w:rsidRPr="00A73C45">
        <w:rPr>
          <w:rFonts w:cs="Arial"/>
          <w:lang w:val="en-CA"/>
        </w:rPr>
        <w:t>.</w:t>
      </w:r>
    </w:p>
    <w:p w:rsidR="00443409" w:rsidRDefault="00443409" w:rsidP="00443409">
      <w:pPr>
        <w:rPr>
          <w:rFonts w:cs="Arial"/>
          <w:lang w:val="en-CA"/>
        </w:rPr>
      </w:pPr>
      <w:r w:rsidRPr="00A73C45">
        <w:rPr>
          <w:rFonts w:cs="Arial"/>
          <w:lang w:val="en-CA"/>
        </w:rPr>
        <w:t>This pilot study returns to the long-standing hypothesis that outcome from TBM can be improved by control of the intra-cerebral inflammatory response. Our previous randomised controlled trial of adjunctive dexamethasone in 545 adults with TBM found dexamethasone increased su</w:t>
      </w:r>
      <w:r w:rsidR="00AC79D5">
        <w:rPr>
          <w:rFonts w:cs="Arial"/>
          <w:lang w:val="en-CA"/>
        </w:rPr>
        <w:t>r</w:t>
      </w:r>
      <w:r w:rsidRPr="00A73C45">
        <w:rPr>
          <w:rFonts w:cs="Arial"/>
          <w:lang w:val="en-CA"/>
        </w:rPr>
        <w:t xml:space="preserve">vival but had no impact on neurological disability </w:t>
      </w:r>
      <w:hyperlink w:anchor="_ENREF_5" w:tooltip="Thwaites, 2004 #332" w:history="1">
        <w:r w:rsidR="00261CB3" w:rsidRPr="00A73C45">
          <w:rPr>
            <w:rFonts w:cs="Arial"/>
            <w:lang w:val="en-CA"/>
          </w:rPr>
          <w:fldChar w:fldCharType="begin">
            <w:fldData xml:space="preserve">PEVuZE5vdGU+PENpdGU+PEF1dGhvcj5UaHdhaXRlczwvQXV0aG9yPjxZZWFyPjIwMDQ8L1llYXI+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Y2FsPjxwYWdlcz4xNzQxLTUxPC9wYWdlcz48dm9sdW1lPjM1MTwvdm9sdW1lPjxudW1iZXI+MTc8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PEVuZE5vdGU+PENpdGU+PEF1dGhvcj5UaHdhaXRlczwvQXV0aG9yPjxZZWFyPjIwMDQ8L1llYXI+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5</w:t>
        </w:r>
        <w:r w:rsidR="00261CB3" w:rsidRPr="00A73C45">
          <w:rPr>
            <w:rFonts w:cs="Arial"/>
            <w:lang w:val="en-CA"/>
          </w:rPr>
          <w:fldChar w:fldCharType="end"/>
        </w:r>
      </w:hyperlink>
      <w:r w:rsidRPr="00A73C45">
        <w:rPr>
          <w:rFonts w:cs="Arial"/>
          <w:lang w:val="en-CA"/>
        </w:rPr>
        <w:t>. Indeed, 5-year follow-up of trial patients found dexamethasone’s impact on survival was lost after around 2 years, primarily because of the deaths of the higher proportion of severely disabled patients in the dexam</w:t>
      </w:r>
      <w:r w:rsidR="00F50B81">
        <w:rPr>
          <w:rFonts w:cs="Arial"/>
          <w:lang w:val="en-CA"/>
        </w:rPr>
        <w:t>e</w:t>
      </w:r>
      <w:r w:rsidRPr="00A73C45">
        <w:rPr>
          <w:rFonts w:cs="Arial"/>
          <w:lang w:val="en-CA"/>
        </w:rPr>
        <w:t xml:space="preserve">thasone treatment </w:t>
      </w:r>
      <w:r w:rsidR="0090706D" w:rsidRPr="00A73C45">
        <w:rPr>
          <w:rFonts w:cs="Arial"/>
          <w:lang w:val="en-CA"/>
        </w:rPr>
        <w:t>arm</w:t>
      </w:r>
      <w:hyperlink w:anchor="_ENREF_7" w:tooltip="Torok, 2011 #1225" w:history="1">
        <w:r w:rsidR="00261CB3" w:rsidRPr="00A73C45">
          <w:rPr>
            <w:rFonts w:cs="Arial"/>
            <w:lang w:val="en-CA"/>
          </w:rPr>
          <w:fldChar w:fldCharType="begin">
            <w:fldData xml:space="preserve">PEVuZE5vdGU+PENpdGU+PEF1dGhvcj5Ub3JvazwvQXV0aG9yPjxZZWFyPjIwMTE8L1llYXI+PFJl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PEVuZE5vdGU+PENpdGU+PEF1dGhvcj5Ub3JvazwvQXV0aG9yPjxZZWFyPjIwMTE8L1llYXI+PFJl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7</w:t>
        </w:r>
        <w:r w:rsidR="00261CB3" w:rsidRPr="00A73C45">
          <w:rPr>
            <w:rFonts w:cs="Arial"/>
            <w:lang w:val="en-CA"/>
          </w:rPr>
          <w:fldChar w:fldCharType="end"/>
        </w:r>
      </w:hyperlink>
      <w:r w:rsidRPr="00A73C45">
        <w:rPr>
          <w:rFonts w:cs="Arial"/>
          <w:lang w:val="en-CA"/>
        </w:rPr>
        <w:t xml:space="preserve">. There is, therefore, an urgent need to explore ways to prevent the neurological sequelae of TBM which </w:t>
      </w:r>
      <w:r w:rsidR="00244855" w:rsidRPr="00A73C45">
        <w:rPr>
          <w:rFonts w:cs="Arial"/>
          <w:lang w:val="en-CA"/>
        </w:rPr>
        <w:t>complement</w:t>
      </w:r>
      <w:r w:rsidRPr="00A73C45">
        <w:rPr>
          <w:rFonts w:cs="Arial"/>
          <w:lang w:val="en-CA"/>
        </w:rPr>
        <w:t xml:space="preserve"> the effect of dexamethasone on survival. We hypothesise that aspirin will reduce neurological sequalae from TBM by enhancing the resolution of intra-cerebral inflammation and by preventing intra-vascular thrombosis and </w:t>
      </w:r>
      <w:r w:rsidR="00A67464" w:rsidRPr="00A73C45">
        <w:rPr>
          <w:rFonts w:cs="Arial"/>
          <w:lang w:val="en-CA"/>
        </w:rPr>
        <w:t xml:space="preserve">brain </w:t>
      </w:r>
      <w:r w:rsidRPr="00A73C45">
        <w:rPr>
          <w:rFonts w:cs="Arial"/>
          <w:lang w:val="en-CA"/>
        </w:rPr>
        <w:t xml:space="preserve">infarction.  </w:t>
      </w:r>
    </w:p>
    <w:p w:rsidR="0036319C" w:rsidRPr="00A73C45" w:rsidRDefault="0036319C" w:rsidP="00443409">
      <w:pPr>
        <w:rPr>
          <w:rFonts w:cs="Arial"/>
          <w:lang w:val="en-CA"/>
        </w:rPr>
      </w:pPr>
    </w:p>
    <w:p w:rsidR="00443409" w:rsidRPr="00A73C45" w:rsidRDefault="00443409" w:rsidP="00443409">
      <w:pPr>
        <w:autoSpaceDE w:val="0"/>
        <w:autoSpaceDN w:val="0"/>
        <w:adjustRightInd w:val="0"/>
        <w:rPr>
          <w:rFonts w:cs="Arial"/>
          <w:b/>
          <w:i/>
          <w:lang w:val="en-CA"/>
        </w:rPr>
      </w:pPr>
      <w:r w:rsidRPr="00A73C45">
        <w:rPr>
          <w:rFonts w:cs="Arial"/>
          <w:b/>
          <w:i/>
          <w:lang w:val="en-CA"/>
        </w:rPr>
        <w:t>Mechanism of TBM-related cerebral infarction</w:t>
      </w:r>
    </w:p>
    <w:p w:rsidR="00443409" w:rsidRPr="00A73C45" w:rsidRDefault="00443409" w:rsidP="00443409">
      <w:pPr>
        <w:autoSpaceDE w:val="0"/>
        <w:autoSpaceDN w:val="0"/>
        <w:adjustRightInd w:val="0"/>
        <w:rPr>
          <w:rFonts w:cs="Arial"/>
          <w:color w:val="000000"/>
          <w:lang w:val="en-CA"/>
        </w:rPr>
      </w:pPr>
      <w:r w:rsidRPr="00A73C45">
        <w:rPr>
          <w:rFonts w:cs="Arial"/>
          <w:lang w:val="en-CA"/>
        </w:rPr>
        <w:t xml:space="preserve">Cerebral infarction is the commonest cause of irreversible neurological damage in patients with TBM, although the pathological mechanisms by which it occurs are poorly understood </w:t>
      </w:r>
      <w:hyperlink w:anchor="_ENREF_8" w:tooltip="Lammie, 2009 #2344" w:history="1">
        <w:r w:rsidR="00261CB3" w:rsidRPr="00A73C45">
          <w:rPr>
            <w:rFonts w:cs="Arial"/>
            <w:lang w:val="en-CA"/>
          </w:rPr>
          <w:fldChar w:fldCharType="begin"/>
        </w:r>
        <w:r w:rsidRPr="00A73C45">
          <w:rPr>
            <w:rFonts w:cs="Arial"/>
            <w:lang w:val="en-CA"/>
          </w:rPr>
          <w:instrText xml:space="preserve"> ADDIN EN.CITE &lt;EndNote&gt;&lt;Cite&gt;&lt;Author&gt;Lammie&lt;/Author&gt;&lt;Year&gt;2009&lt;/Year&gt;&lt;RecNum&gt;2344&lt;/RecNum&gt;&lt;DisplayText&gt;&lt;style face="superscript"&gt;8&lt;/style&gt;&lt;/DisplayText&gt;&lt;record&gt;&lt;rec-number&gt;2344&lt;/rec-number&gt;&lt;foreign-keys&gt;&lt;key app="EN" db-id="z2rtxr5xntetpoedesspswdyda2se0zarvpa"&gt;2344&lt;/key&gt;&lt;/foreign-keys&gt;&lt;ref-type name="Journal Article"&gt;17&lt;/ref-type&gt;&lt;contributors&gt;&lt;authors&gt;&lt;author&gt;Lammie, G. A.&lt;/author&gt;&lt;author&gt;Hewlett, R. H.&lt;/author&gt;&lt;author&gt;Schoeman, J. F.&lt;/author&gt;&lt;author&gt;Donald, P. R.&lt;/author&gt;&lt;/authors&gt;&lt;/contributors&gt;&lt;auth-address&gt;Department of Pathology, Cardiff University, Heath Park, Cardiff CF144XN, UK. lammiega@cf.ac.uk&lt;/auth-address&gt;&lt;titles&gt;&lt;title&gt;Tuberculous cerebrovascular disease: a review&lt;/title&gt;&lt;secondary-title&gt;J Infect&lt;/secondary-title&gt;&lt;alt-title&gt;The Journal of infection&lt;/alt-title&gt;&lt;/titles&gt;&lt;periodical&gt;&lt;full-title&gt;J Infect&lt;/full-title&gt;&lt;abbr-1&gt;The Journal of infection&lt;/abbr-1&gt;&lt;/periodical&gt;&lt;alt-periodical&gt;&lt;full-title&gt;J Infect&lt;/full-title&gt;&lt;abbr-1&gt;The Journal of infection&lt;/abbr-1&gt;&lt;/alt-periodical&gt;&lt;pages&gt;156-66&lt;/pages&gt;&lt;volume&gt;59&lt;/volume&gt;&lt;number&gt;3&lt;/number&gt;&lt;edition&gt;2009/07/29&lt;/edition&gt;&lt;keywords&gt;&lt;keyword&gt;Adrenal Cortex Hormones/therapeutic use&lt;/keyword&gt;&lt;keyword&gt;Anti-Inflammatory Agents/therapeutic use&lt;/keyword&gt;&lt;keyword&gt;Blood Vessels/pathology&lt;/keyword&gt;&lt;keyword&gt;Brain Mapping&lt;/keyword&gt;&lt;keyword&gt;Cerebral Infarction/etiology/pathology&lt;/keyword&gt;&lt;keyword&gt;Cerebrovascular Disorders/diagnosis/drug therapy/*etiology&lt;/keyword&gt;&lt;keyword&gt;HIV Infections/complications&lt;/keyword&gt;&lt;keyword&gt;Humans&lt;/keyword&gt;&lt;keyword&gt;Thrombosis/metabolism&lt;/keyword&gt;&lt;keyword&gt;Tuberculosis, Meningeal/*complications&lt;/keyword&gt;&lt;/keywords&gt;&lt;dates&gt;&lt;year&gt;2009&lt;/year&gt;&lt;pub-dates&gt;&lt;date&gt;Sep&lt;/date&gt;&lt;/pub-dates&gt;&lt;/dates&gt;&lt;isbn&gt;1532-2742 (Electronic)&amp;#xD;0163-4453 (Linking)&lt;/isbn&gt;&lt;accession-num&gt;19635500&lt;/accession-num&gt;&lt;work-type&gt;Review&lt;/work-type&gt;&lt;urls&gt;&lt;related-urls&gt;&lt;url&gt;http://www.ncbi.nlm.nih.gov/pubmed/19635500&lt;/url&gt;&lt;/related-urls&gt;&lt;/urls&gt;&lt;electronic-resource-num&gt;10.1016/j.jinf.2009.07.012&lt;/electronic-resource-num&gt;&lt;language&gt;eng&lt;/language&gt;&lt;/record&gt;&lt;/Cite&gt;&lt;/EndNote&gt;</w:instrText>
        </w:r>
        <w:r w:rsidR="00261CB3" w:rsidRPr="00A73C45">
          <w:rPr>
            <w:rFonts w:cs="Arial"/>
            <w:lang w:val="en-CA"/>
          </w:rPr>
          <w:fldChar w:fldCharType="separate"/>
        </w:r>
        <w:r w:rsidRPr="00A73C45">
          <w:rPr>
            <w:rFonts w:cs="Arial"/>
            <w:noProof/>
            <w:vertAlign w:val="superscript"/>
            <w:lang w:val="en-CA"/>
          </w:rPr>
          <w:t>8</w:t>
        </w:r>
        <w:r w:rsidR="00261CB3" w:rsidRPr="00A73C45">
          <w:rPr>
            <w:rFonts w:cs="Arial"/>
            <w:lang w:val="en-CA"/>
          </w:rPr>
          <w:fldChar w:fldCharType="end"/>
        </w:r>
      </w:hyperlink>
      <w:r w:rsidRPr="00A73C45">
        <w:rPr>
          <w:rFonts w:cs="Arial"/>
          <w:lang w:val="en-CA"/>
        </w:rPr>
        <w:t>. Post mortem studies performed in the late 19th century found</w:t>
      </w:r>
      <w:r w:rsidRPr="00A73C45">
        <w:rPr>
          <w:rFonts w:cs="Arial"/>
          <w:color w:val="000000"/>
          <w:lang w:val="en-CA"/>
        </w:rPr>
        <w:t xml:space="preserve"> that infarcts were most frequently seen in relation to small or medium-sized vessels occluded by intimal infiltration and/or proliferation </w:t>
      </w:r>
      <w:hyperlink w:anchor="_ENREF_9" w:tooltip="Hektoen, 1896 #2563" w:history="1">
        <w:r w:rsidR="00261CB3" w:rsidRPr="00A73C45">
          <w:rPr>
            <w:rFonts w:cs="Arial"/>
            <w:color w:val="000000"/>
            <w:lang w:val="en-CA"/>
          </w:rPr>
          <w:fldChar w:fldCharType="begin"/>
        </w:r>
        <w:r w:rsidRPr="00A73C45">
          <w:rPr>
            <w:rFonts w:cs="Arial"/>
            <w:color w:val="000000"/>
            <w:lang w:val="en-CA"/>
          </w:rPr>
          <w:instrText xml:space="preserve"> ADDIN EN.CITE &lt;EndNote&gt;&lt;Cite&gt;&lt;Author&gt;Hektoen&lt;/Author&gt;&lt;Year&gt;1896&lt;/Year&gt;&lt;RecNum&gt;2563&lt;/RecNum&gt;&lt;DisplayText&gt;&lt;style face="superscript"&gt;9&lt;/style&gt;&lt;/DisplayText&gt;&lt;record&gt;&lt;rec-number&gt;2563&lt;/rec-number&gt;&lt;foreign-keys&gt;&lt;key app="EN" db-id="z2rtxr5xntetpoedesspswdyda2se0zarvpa"&gt;2563&lt;/key&gt;&lt;/foreign-keys&gt;&lt;ref-type name="Journal Article"&gt;17&lt;/ref-type&gt;&lt;contributors&gt;&lt;authors&gt;&lt;author&gt;Hektoen, L. &lt;/author&gt;&lt;/authors&gt;&lt;/contributors&gt;&lt;titles&gt;&lt;title&gt;The vascular changes in tuberculous meningitis especially tuberculous endarteritis&lt;/title&gt;&lt;secondary-title&gt;J Exp Med&lt;/secondary-title&gt;&lt;/titles&gt;&lt;periodical&gt;&lt;full-title&gt;J Exp Med&lt;/full-title&gt;&lt;/periodical&gt;&lt;pages&gt;112-163&lt;/pages&gt;&lt;volume&gt;1&lt;/volume&gt;&lt;dates&gt;&lt;year&gt;1896&lt;/year&gt;&lt;/dates&gt;&lt;urls&gt;&lt;/urls&gt;&lt;/record&gt;&lt;/Cite&gt;&lt;/EndNote&gt;</w:instrText>
        </w:r>
        <w:r w:rsidR="00261CB3" w:rsidRPr="00A73C45">
          <w:rPr>
            <w:rFonts w:cs="Arial"/>
            <w:color w:val="000000"/>
            <w:lang w:val="en-CA"/>
          </w:rPr>
          <w:fldChar w:fldCharType="separate"/>
        </w:r>
        <w:r w:rsidRPr="00A73C45">
          <w:rPr>
            <w:rFonts w:cs="Arial"/>
            <w:noProof/>
            <w:color w:val="000000"/>
            <w:vertAlign w:val="superscript"/>
            <w:lang w:val="en-CA"/>
          </w:rPr>
          <w:t>9</w:t>
        </w:r>
        <w:r w:rsidR="00261CB3" w:rsidRPr="00A73C45">
          <w:rPr>
            <w:rFonts w:cs="Arial"/>
            <w:color w:val="000000"/>
            <w:lang w:val="en-CA"/>
          </w:rPr>
          <w:fldChar w:fldCharType="end"/>
        </w:r>
      </w:hyperlink>
      <w:r w:rsidRPr="00A73C45">
        <w:rPr>
          <w:rFonts w:cs="Arial"/>
          <w:color w:val="000000"/>
          <w:lang w:val="en-CA"/>
        </w:rPr>
        <w:t>. Seminal autopsy and animal studies performed in the early 20</w:t>
      </w:r>
      <w:r w:rsidRPr="00A73C45">
        <w:rPr>
          <w:rFonts w:cs="Arial"/>
          <w:color w:val="000000"/>
          <w:vertAlign w:val="superscript"/>
          <w:lang w:val="en-CA"/>
        </w:rPr>
        <w:t>th</w:t>
      </w:r>
      <w:r w:rsidRPr="00A73C45">
        <w:rPr>
          <w:rFonts w:cs="Arial"/>
          <w:color w:val="000000"/>
          <w:lang w:val="en-CA"/>
        </w:rPr>
        <w:t xml:space="preserve"> century by Rich and McCordock reported vessel wall inflammation was more likely to have spread from the adventitia inwards, reflecting the severity of the surrounding subarachnoid inflammatory exudates </w:t>
      </w:r>
      <w:hyperlink w:anchor="_ENREF_10" w:tooltip="Rich, 1933 #238" w:history="1">
        <w:r w:rsidR="00261CB3" w:rsidRPr="00A73C45">
          <w:rPr>
            <w:rFonts w:cs="Arial"/>
            <w:color w:val="000000"/>
            <w:lang w:val="en-CA"/>
          </w:rPr>
          <w:fldChar w:fldCharType="begin"/>
        </w:r>
        <w:r w:rsidRPr="00A73C45">
          <w:rPr>
            <w:rFonts w:cs="Arial"/>
            <w:color w:val="000000"/>
            <w:lang w:val="en-CA"/>
          </w:rPr>
          <w:instrText xml:space="preserve"> ADDIN EN.CITE &lt;EndNote&gt;&lt;Cite&gt;&lt;Author&gt;Rich&lt;/Author&gt;&lt;Year&gt;1933&lt;/Year&gt;&lt;RecNum&gt;238&lt;/RecNum&gt;&lt;DisplayText&gt;&lt;style face="superscript"&gt;10&lt;/style&gt;&lt;/DisplayText&gt;&lt;record&gt;&lt;rec-number&gt;238&lt;/rec-number&gt;&lt;foreign-keys&gt;&lt;key app="EN" db-id="z2rtxr5xntetpoedesspswdyda2se0zarvpa"&gt;238&lt;/key&gt;&lt;/foreign-keys&gt;&lt;ref-type name="Journal Article"&gt;17&lt;/ref-type&gt;&lt;contributors&gt;&lt;authors&gt;&lt;author&gt;Rich, A.R.&lt;/author&gt;&lt;author&gt;McCordock, H.A.&lt;/author&gt;&lt;/authors&gt;&lt;/contributors&gt;&lt;titles&gt;&lt;title&gt;The pathogenesis of tuberculous meningitis&lt;/title&gt;&lt;secondary-title&gt;Bull John Hopkins Hosp&lt;/secondary-title&gt;&lt;/titles&gt;&lt;periodical&gt;&lt;full-title&gt;Bull John Hopkins Hosp&lt;/full-title&gt;&lt;/periodical&gt;&lt;pages&gt;5-37&lt;/pages&gt;&lt;volume&gt;52&lt;/volume&gt;&lt;dates&gt;&lt;year&gt;1933&lt;/year&gt;&lt;/dates&gt;&lt;urls&gt;&lt;/urls&gt;&lt;/record&gt;&lt;/Cite&gt;&lt;/EndNote&gt;</w:instrText>
        </w:r>
        <w:r w:rsidR="00261CB3" w:rsidRPr="00A73C45">
          <w:rPr>
            <w:rFonts w:cs="Arial"/>
            <w:color w:val="000000"/>
            <w:lang w:val="en-CA"/>
          </w:rPr>
          <w:fldChar w:fldCharType="separate"/>
        </w:r>
        <w:r w:rsidRPr="00A73C45">
          <w:rPr>
            <w:rFonts w:cs="Arial"/>
            <w:noProof/>
            <w:color w:val="000000"/>
            <w:vertAlign w:val="superscript"/>
            <w:lang w:val="en-CA"/>
          </w:rPr>
          <w:t>10</w:t>
        </w:r>
        <w:r w:rsidR="00261CB3" w:rsidRPr="00A73C45">
          <w:rPr>
            <w:rFonts w:cs="Arial"/>
            <w:color w:val="000000"/>
            <w:lang w:val="en-CA"/>
          </w:rPr>
          <w:fldChar w:fldCharType="end"/>
        </w:r>
      </w:hyperlink>
      <w:r w:rsidRPr="00A73C45">
        <w:rPr>
          <w:rFonts w:cs="Arial"/>
          <w:color w:val="000000"/>
          <w:lang w:val="en-CA"/>
        </w:rPr>
        <w:t xml:space="preserve">. In keeping with these observations, TBM-related infarcts are most commonly located in the territories of the proximal middle cerebral artery and the medial lenticulostriate and thalamoperforating vessels, where the basal meningeal inflammatory exudate is at its most intense </w:t>
      </w:r>
      <w:hyperlink w:anchor="_ENREF_8" w:tooltip="Lammie, 2009 #2344" w:history="1">
        <w:r w:rsidR="00261CB3" w:rsidRPr="00A73C45">
          <w:rPr>
            <w:rFonts w:cs="Arial"/>
            <w:color w:val="000000"/>
            <w:lang w:val="en-CA"/>
          </w:rPr>
          <w:fldChar w:fldCharType="begin"/>
        </w:r>
        <w:r w:rsidRPr="00A73C45">
          <w:rPr>
            <w:rFonts w:cs="Arial"/>
            <w:color w:val="000000"/>
            <w:lang w:val="en-CA"/>
          </w:rPr>
          <w:instrText xml:space="preserve"> ADDIN EN.CITE &lt;EndNote&gt;&lt;Cite&gt;&lt;Author&gt;Lammie&lt;/Author&gt;&lt;Year&gt;2009&lt;/Year&gt;&lt;RecNum&gt;2344&lt;/RecNum&gt;&lt;DisplayText&gt;&lt;style face="superscript"&gt;8&lt;/style&gt;&lt;/DisplayText&gt;&lt;record&gt;&lt;rec-number&gt;2344&lt;/rec-number&gt;&lt;foreign-keys&gt;&lt;key app="EN" db-id="z2rtxr5xntetpoedesspswdyda2se0zarvpa"&gt;2344&lt;/key&gt;&lt;/foreign-keys&gt;&lt;ref-type name="Journal Article"&gt;17&lt;/ref-type&gt;&lt;contributors&gt;&lt;authors&gt;&lt;author&gt;Lammie, G. A.&lt;/author&gt;&lt;author&gt;Hewlett, R. H.&lt;/author&gt;&lt;author&gt;Schoeman, J. F.&lt;/author&gt;&lt;author&gt;Donald, P. R.&lt;/author&gt;&lt;/authors&gt;&lt;/contributors&gt;&lt;auth-address&gt;Department of Pathology, Cardiff University, Heath Park, Cardiff CF144XN, UK. lammiega@cf.ac.uk&lt;/auth-address&gt;&lt;titles&gt;&lt;title&gt;Tuberculous cerebrovascular disease: a review&lt;/title&gt;&lt;secondary-title&gt;J Infect&lt;/secondary-title&gt;&lt;alt-title&gt;The Journal of infection&lt;/alt-title&gt;&lt;/titles&gt;&lt;periodical&gt;&lt;full-title&gt;J Infect&lt;/full-title&gt;&lt;abbr-1&gt;The Journal of infection&lt;/abbr-1&gt;&lt;/periodical&gt;&lt;alt-periodical&gt;&lt;full-title&gt;J Infect&lt;/full-title&gt;&lt;abbr-1&gt;The Journal of infection&lt;/abbr-1&gt;&lt;/alt-periodical&gt;&lt;pages&gt;156-66&lt;/pages&gt;&lt;volume&gt;59&lt;/volume&gt;&lt;number&gt;3&lt;/number&gt;&lt;edition&gt;2009/07/29&lt;/edition&gt;&lt;keywords&gt;&lt;keyword&gt;Adrenal Cortex Hormones/therapeutic use&lt;/keyword&gt;&lt;keyword&gt;Anti-Inflammatory Agents/therapeutic use&lt;/keyword&gt;&lt;keyword&gt;Blood Vessels/pathology&lt;/keyword&gt;&lt;keyword&gt;Brain Mapping&lt;/keyword&gt;&lt;keyword&gt;Cerebral Infarction/etiology/pathology&lt;/keyword&gt;&lt;keyword&gt;Cerebrovascular Disorders/diagnosis/drug therapy/*etiology&lt;/keyword&gt;&lt;keyword&gt;HIV Infections/complications&lt;/keyword&gt;&lt;keyword&gt;Humans&lt;/keyword&gt;&lt;keyword&gt;Thrombosis/metabolism&lt;/keyword&gt;&lt;keyword&gt;Tuberculosis, Meningeal/*complications&lt;/keyword&gt;&lt;/keywords&gt;&lt;dates&gt;&lt;year&gt;2009&lt;/year&gt;&lt;pub-dates&gt;&lt;date&gt;Sep&lt;/date&gt;&lt;/pub-dates&gt;&lt;/dates&gt;&lt;isbn&gt;1532-2742 (Electronic)&amp;#xD;0163-4453 (Linking)&lt;/isbn&gt;&lt;accession-num&gt;19635500&lt;/accession-num&gt;&lt;work-type&gt;Review&lt;/work-type&gt;&lt;urls&gt;&lt;related-urls&gt;&lt;url&gt;http://www.ncbi.nlm.nih.gov/pubmed/19635500&lt;/url&gt;&lt;/related-urls&gt;&lt;/urls&gt;&lt;electronic-resource-num&gt;10.1016/j.jinf.2009.07.012&lt;/electronic-resource-num&gt;&lt;language&gt;eng&lt;/language&gt;&lt;/record&gt;&lt;/Cite&gt;&lt;/EndNote&gt;</w:instrText>
        </w:r>
        <w:r w:rsidR="00261CB3" w:rsidRPr="00A73C45">
          <w:rPr>
            <w:rFonts w:cs="Arial"/>
            <w:color w:val="000000"/>
            <w:lang w:val="en-CA"/>
          </w:rPr>
          <w:fldChar w:fldCharType="separate"/>
        </w:r>
        <w:r w:rsidRPr="00A73C45">
          <w:rPr>
            <w:rFonts w:cs="Arial"/>
            <w:noProof/>
            <w:color w:val="000000"/>
            <w:vertAlign w:val="superscript"/>
            <w:lang w:val="en-CA"/>
          </w:rPr>
          <w:t>8</w:t>
        </w:r>
        <w:r w:rsidR="00261CB3" w:rsidRPr="00A73C45">
          <w:rPr>
            <w:rFonts w:cs="Arial"/>
            <w:color w:val="000000"/>
            <w:lang w:val="en-CA"/>
          </w:rPr>
          <w:fldChar w:fldCharType="end"/>
        </w:r>
      </w:hyperlink>
      <w:r w:rsidRPr="00A73C45">
        <w:rPr>
          <w:rFonts w:cs="Arial"/>
          <w:color w:val="000000"/>
          <w:lang w:val="en-CA"/>
        </w:rPr>
        <w:t xml:space="preserve">. </w:t>
      </w:r>
    </w:p>
    <w:p w:rsidR="00443409" w:rsidRDefault="00443409" w:rsidP="00443409">
      <w:pPr>
        <w:autoSpaceDE w:val="0"/>
        <w:autoSpaceDN w:val="0"/>
        <w:adjustRightInd w:val="0"/>
        <w:rPr>
          <w:rFonts w:cs="Arial"/>
          <w:color w:val="000000"/>
          <w:lang w:val="en-CA"/>
        </w:rPr>
      </w:pPr>
      <w:r w:rsidRPr="00A73C45">
        <w:rPr>
          <w:rFonts w:cs="Arial"/>
          <w:color w:val="000000"/>
          <w:lang w:val="en-CA"/>
        </w:rPr>
        <w:lastRenderedPageBreak/>
        <w:t>The role of vessel thrombosis in causing TBM-related cerebral infarcts is controversial. When specifically sought in autopsy TBM brains, some investigators have either failed to find arterial thrombos</w:t>
      </w:r>
      <w:r w:rsidR="002D0FCF" w:rsidRPr="00A73C45">
        <w:rPr>
          <w:rFonts w:cs="Arial"/>
          <w:color w:val="000000"/>
          <w:lang w:val="en-CA"/>
        </w:rPr>
        <w:t>i</w:t>
      </w:r>
      <w:r w:rsidRPr="00A73C45">
        <w:rPr>
          <w:rFonts w:cs="Arial"/>
          <w:color w:val="000000"/>
          <w:lang w:val="en-CA"/>
        </w:rPr>
        <w:t>s,</w:t>
      </w:r>
      <w:r w:rsidR="00AC79D5">
        <w:rPr>
          <w:rFonts w:cs="Arial"/>
          <w:color w:val="000000"/>
          <w:lang w:val="en-CA"/>
        </w:rPr>
        <w:t xml:space="preserve"> </w:t>
      </w:r>
      <w:r w:rsidRPr="00A73C45">
        <w:rPr>
          <w:rFonts w:cs="Arial"/>
          <w:color w:val="000000"/>
          <w:lang w:val="en-CA"/>
        </w:rPr>
        <w:t xml:space="preserve">or found </w:t>
      </w:r>
      <w:r w:rsidR="002D0FCF" w:rsidRPr="00A73C45">
        <w:rPr>
          <w:rFonts w:cs="Arial"/>
          <w:color w:val="000000"/>
          <w:lang w:val="en-CA"/>
        </w:rPr>
        <w:t xml:space="preserve">it </w:t>
      </w:r>
      <w:r w:rsidRPr="00A73C45">
        <w:rPr>
          <w:rFonts w:cs="Arial"/>
          <w:color w:val="000000"/>
          <w:lang w:val="en-CA"/>
        </w:rPr>
        <w:t xml:space="preserve">to be uncommon </w:t>
      </w:r>
      <w:hyperlink w:anchor="_ENREF_11" w:tooltip="Doniach, 1949 #2564" w:history="1">
        <w:r w:rsidR="00261CB3" w:rsidRPr="00A73C45">
          <w:rPr>
            <w:rFonts w:cs="Arial"/>
            <w:color w:val="000000"/>
            <w:lang w:val="en-CA"/>
          </w:rPr>
          <w:fldChar w:fldCharType="begin"/>
        </w:r>
        <w:r w:rsidRPr="00A73C45">
          <w:rPr>
            <w:rFonts w:cs="Arial"/>
            <w:color w:val="000000"/>
            <w:lang w:val="en-CA"/>
          </w:rPr>
          <w:instrText xml:space="preserve"> ADDIN EN.CITE &lt;EndNote&gt;&lt;Cite&gt;&lt;Author&gt;Doniach&lt;/Author&gt;&lt;Year&gt;1949&lt;/Year&gt;&lt;RecNum&gt;2564&lt;/RecNum&gt;&lt;DisplayText&gt;&lt;style face="superscript"&gt;11&lt;/style&gt;&lt;/DisplayText&gt;&lt;record&gt;&lt;rec-number&gt;2564&lt;/rec-number&gt;&lt;foreign-keys&gt;&lt;key app="EN" db-id="z2rtxr5xntetpoedesspswdyda2se0zarvpa"&gt;2564&lt;/key&gt;&lt;/foreign-keys&gt;&lt;ref-type name="Journal Article"&gt;17&lt;/ref-type&gt;&lt;contributors&gt;&lt;authors&gt;&lt;author&gt;Doniach, I.&lt;/author&gt;&lt;/authors&gt;&lt;/contributors&gt;&lt;titles&gt;&lt;title&gt;Changes in the meningeal vessels in acute and chronic (streptomycin-treated) tuberculous meningitis&lt;/title&gt;&lt;secondary-title&gt;J Pathol Bacteriol&lt;/secondary-title&gt;&lt;alt-title&gt;The Journal of pathology and bacteriology&lt;/alt-title&gt;&lt;/titles&gt;&lt;periodical&gt;&lt;full-title&gt;J Pathol Bacteriol&lt;/full-title&gt;&lt;abbr-1&gt;The Journal of pathology and bacteriology&lt;/abbr-1&gt;&lt;/periodical&gt;&lt;alt-periodical&gt;&lt;full-title&gt;J Pathol Bacteriol&lt;/full-title&gt;&lt;abbr-1&gt;The Journal of pathology and bacteriology&lt;/abbr-1&gt;&lt;/alt-periodical&gt;&lt;pages&gt;253-9, 4 pl&lt;/pages&gt;&lt;volume&gt;61&lt;/volume&gt;&lt;number&gt;2&lt;/number&gt;&lt;edition&gt;1949/04/01&lt;/edition&gt;&lt;keywords&gt;&lt;keyword&gt;*Anti-Bacterial Agents&lt;/keyword&gt;&lt;keyword&gt;*Meninges&lt;/keyword&gt;&lt;/keywords&gt;&lt;dates&gt;&lt;year&gt;1949&lt;/year&gt;&lt;pub-dates&gt;&lt;date&gt;Apr&lt;/date&gt;&lt;/pub-dates&gt;&lt;/dates&gt;&lt;isbn&gt;0368-3494 (Print)&amp;#xD;0368-3494 (Linking)&lt;/isbn&gt;&lt;accession-num&gt;15392484&lt;/accession-num&gt;&lt;urls&gt;&lt;related-urls&gt;&lt;url&gt;http://www.ncbi.nlm.nih.gov/pubmed/15392484&lt;/url&gt;&lt;/related-urls&gt;&lt;/urls&gt;&lt;language&gt;eng&lt;/language&gt;&lt;/record&gt;&lt;/Cite&gt;&lt;/EndNote&gt;</w:instrText>
        </w:r>
        <w:r w:rsidR="00261CB3" w:rsidRPr="00A73C45">
          <w:rPr>
            <w:rFonts w:cs="Arial"/>
            <w:color w:val="000000"/>
            <w:lang w:val="en-CA"/>
          </w:rPr>
          <w:fldChar w:fldCharType="separate"/>
        </w:r>
        <w:r w:rsidRPr="00A73C45">
          <w:rPr>
            <w:rFonts w:cs="Arial"/>
            <w:noProof/>
            <w:color w:val="000000"/>
            <w:vertAlign w:val="superscript"/>
            <w:lang w:val="en-CA"/>
          </w:rPr>
          <w:t>11</w:t>
        </w:r>
        <w:r w:rsidR="00261CB3" w:rsidRPr="00A73C45">
          <w:rPr>
            <w:rFonts w:cs="Arial"/>
            <w:color w:val="000000"/>
            <w:lang w:val="en-CA"/>
          </w:rPr>
          <w:fldChar w:fldCharType="end"/>
        </w:r>
      </w:hyperlink>
      <w:r w:rsidRPr="00A73C45">
        <w:rPr>
          <w:rFonts w:cs="Arial"/>
          <w:color w:val="000000"/>
          <w:lang w:val="en-CA"/>
        </w:rPr>
        <w:t>. Others assert that thrombosis is common, especially when there is an associated tuberculous</w:t>
      </w:r>
      <w:r w:rsidR="003C236F" w:rsidRPr="00A73C45">
        <w:rPr>
          <w:rFonts w:cs="Arial"/>
          <w:color w:val="000000"/>
          <w:lang w:val="en-CA"/>
        </w:rPr>
        <w:t xml:space="preserve"> </w:t>
      </w:r>
      <w:r w:rsidRPr="00A73C45">
        <w:rPr>
          <w:rFonts w:cs="Arial"/>
          <w:color w:val="000000"/>
          <w:lang w:val="en-CA"/>
        </w:rPr>
        <w:t>vasculitis</w:t>
      </w:r>
      <w:hyperlink w:anchor="_ENREF_12" w:tooltip="Poltera, 1977 #2565" w:history="1">
        <w:r w:rsidR="00261CB3" w:rsidRPr="00A73C45">
          <w:rPr>
            <w:rFonts w:cs="Arial"/>
            <w:color w:val="000000"/>
            <w:lang w:val="en-CA"/>
          </w:rPr>
          <w:fldChar w:fldCharType="begin"/>
        </w:r>
        <w:r w:rsidRPr="00A73C45">
          <w:rPr>
            <w:rFonts w:cs="Arial"/>
            <w:color w:val="000000"/>
            <w:lang w:val="en-CA"/>
          </w:rPr>
          <w:instrText xml:space="preserve"> ADDIN EN.CITE &lt;EndNote&gt;&lt;Cite&gt;&lt;Author&gt;Poltera&lt;/Author&gt;&lt;Year&gt;1977&lt;/Year&gt;&lt;RecNum&gt;2565&lt;/RecNum&gt;&lt;DisplayText&gt;&lt;style face="superscript"&gt;12&lt;/style&gt;&lt;/DisplayText&gt;&lt;record&gt;&lt;rec-number&gt;2565&lt;/rec-number&gt;&lt;foreign-keys&gt;&lt;key app="EN" db-id="z2rtxr5xntetpoedesspswdyda2se0zarvpa"&gt;2565&lt;/key&gt;&lt;/foreign-keys&gt;&lt;ref-type name="Journal Article"&gt;17&lt;/ref-type&gt;&lt;contributors&gt;&lt;authors&gt;&lt;author&gt;Poltera, A. A.&lt;/author&gt;&lt;/authors&gt;&lt;/contributors&gt;&lt;titles&gt;&lt;title&gt;Thrombogenic intracranial vasculitis in tuberculous meningitis. A 20 year &amp;quot;post mortem&amp;quot; survey&lt;/title&gt;&lt;secondary-title&gt;Acta Neurol Belg&lt;/secondary-title&gt;&lt;alt-title&gt;Acta neurologica Belgica&lt;/alt-title&gt;&lt;/titles&gt;&lt;periodical&gt;&lt;full-title&gt;Acta Neurol Belg&lt;/full-title&gt;&lt;abbr-1&gt;Acta neurologica Belgica&lt;/abbr-1&gt;&lt;/periodical&gt;&lt;alt-periodical&gt;&lt;full-title&gt;Acta Neurol Belg&lt;/full-title&gt;&lt;abbr-1&gt;Acta neurologica Belgica&lt;/abbr-1&gt;&lt;/alt-periodical&gt;&lt;pages&gt;12-24&lt;/pages&gt;&lt;volume&gt;77&lt;/volume&gt;&lt;number&gt;1&lt;/number&gt;&lt;edition&gt;1977/01/01&lt;/edition&gt;&lt;keywords&gt;&lt;keyword&gt;Adult&lt;/keyword&gt;&lt;keyword&gt;Arteritis/*etiology/pathology&lt;/keyword&gt;&lt;keyword&gt;Child&lt;/keyword&gt;&lt;keyword&gt;Female&lt;/keyword&gt;&lt;keyword&gt;Humans&lt;/keyword&gt;&lt;keyword&gt;Intracranial Embolism and Thrombosis/*etiology/pathology&lt;/keyword&gt;&lt;keyword&gt;Male&lt;/keyword&gt;&lt;keyword&gt;Middle Aged&lt;/keyword&gt;&lt;keyword&gt;Phlebitis/pathology&lt;/keyword&gt;&lt;keyword&gt;Tuberculosis, Meningeal/*complications/pathology&lt;/keyword&gt;&lt;/keywords&gt;&lt;dates&gt;&lt;year&gt;1977&lt;/year&gt;&lt;pub-dates&gt;&lt;date&gt;Jan-Feb&lt;/date&gt;&lt;/pub-dates&gt;&lt;/dates&gt;&lt;isbn&gt;0300-9009 (Print)&amp;#xD;0300-9009 (Linking)&lt;/isbn&gt;&lt;accession-num&gt;842274&lt;/accession-num&gt;&lt;urls&gt;&lt;related-urls&gt;&lt;url&gt;http://www.ncbi.nlm.nih.gov/pubmed/842274&lt;/url&gt;&lt;/related-urls&gt;&lt;/urls&gt;&lt;language&gt;eng&lt;/language&gt;&lt;/record&gt;&lt;/Cite&gt;&lt;/EndNote&gt;</w:instrText>
        </w:r>
        <w:r w:rsidR="00261CB3" w:rsidRPr="00A73C45">
          <w:rPr>
            <w:rFonts w:cs="Arial"/>
            <w:color w:val="000000"/>
            <w:lang w:val="en-CA"/>
          </w:rPr>
          <w:fldChar w:fldCharType="separate"/>
        </w:r>
        <w:r w:rsidRPr="00A73C45">
          <w:rPr>
            <w:rFonts w:cs="Arial"/>
            <w:noProof/>
            <w:color w:val="000000"/>
            <w:vertAlign w:val="superscript"/>
            <w:lang w:val="en-CA"/>
          </w:rPr>
          <w:t>12</w:t>
        </w:r>
        <w:r w:rsidR="00261CB3" w:rsidRPr="00A73C45">
          <w:rPr>
            <w:rFonts w:cs="Arial"/>
            <w:color w:val="000000"/>
            <w:lang w:val="en-CA"/>
          </w:rPr>
          <w:fldChar w:fldCharType="end"/>
        </w:r>
      </w:hyperlink>
      <w:r w:rsidRPr="00A73C45">
        <w:rPr>
          <w:rFonts w:cs="Arial"/>
          <w:color w:val="000000"/>
          <w:lang w:val="en-CA"/>
        </w:rPr>
        <w:t xml:space="preserve">. It seems most likely that TBM-related infarcts are caused by a variable combination of vasospasm, intimal proliferation and thrombosis </w:t>
      </w:r>
      <w:hyperlink w:anchor="_ENREF_8" w:tooltip="Lammie, 2009 #2344" w:history="1">
        <w:r w:rsidR="00261CB3" w:rsidRPr="00A73C45">
          <w:rPr>
            <w:rFonts w:cs="Arial"/>
            <w:color w:val="000000"/>
            <w:lang w:val="en-CA"/>
          </w:rPr>
          <w:fldChar w:fldCharType="begin"/>
        </w:r>
        <w:r w:rsidRPr="00A73C45">
          <w:rPr>
            <w:rFonts w:cs="Arial"/>
            <w:color w:val="000000"/>
            <w:lang w:val="en-CA"/>
          </w:rPr>
          <w:instrText xml:space="preserve"> ADDIN EN.CITE &lt;EndNote&gt;&lt;Cite&gt;&lt;Author&gt;Lammie&lt;/Author&gt;&lt;Year&gt;2009&lt;/Year&gt;&lt;RecNum&gt;2344&lt;/RecNum&gt;&lt;DisplayText&gt;&lt;style face="superscript"&gt;8&lt;/style&gt;&lt;/DisplayText&gt;&lt;record&gt;&lt;rec-number&gt;2344&lt;/rec-number&gt;&lt;foreign-keys&gt;&lt;key app="EN" db-id="z2rtxr5xntetpoedesspswdyda2se0zarvpa"&gt;2344&lt;/key&gt;&lt;/foreign-keys&gt;&lt;ref-type name="Journal Article"&gt;17&lt;/ref-type&gt;&lt;contributors&gt;&lt;authors&gt;&lt;author&gt;Lammie, G. A.&lt;/author&gt;&lt;author&gt;Hewlett, R. H.&lt;/author&gt;&lt;author&gt;Schoeman, J. F.&lt;/author&gt;&lt;author&gt;Donald, P. R.&lt;/author&gt;&lt;/authors&gt;&lt;/contributors&gt;&lt;auth-address&gt;Department of Pathology, Cardiff University, Heath Park, Cardiff CF144XN, UK. lammiega@cf.ac.uk&lt;/auth-address&gt;&lt;titles&gt;&lt;title&gt;Tuberculous cerebrovascular disease: a review&lt;/title&gt;&lt;secondary-title&gt;J Infect&lt;/secondary-title&gt;&lt;alt-title&gt;The Journal of infection&lt;/alt-title&gt;&lt;/titles&gt;&lt;periodical&gt;&lt;full-title&gt;J Infect&lt;/full-title&gt;&lt;abbr-1&gt;The Journal of infection&lt;/abbr-1&gt;&lt;/periodical&gt;&lt;alt-periodical&gt;&lt;full-title&gt;J Infect&lt;/full-title&gt;&lt;abbr-1&gt;The Journal of infection&lt;/abbr-1&gt;&lt;/alt-periodical&gt;&lt;pages&gt;156-66&lt;/pages&gt;&lt;volume&gt;59&lt;/volume&gt;&lt;number&gt;3&lt;/number&gt;&lt;edition&gt;2009/07/29&lt;/edition&gt;&lt;keywords&gt;&lt;keyword&gt;Adrenal Cortex Hormones/therapeutic use&lt;/keyword&gt;&lt;keyword&gt;Anti-Inflammatory Agents/therapeutic use&lt;/keyword&gt;&lt;keyword&gt;Blood Vessels/pathology&lt;/keyword&gt;&lt;keyword&gt;Brain Mapping&lt;/keyword&gt;&lt;keyword&gt;Cerebral Infarction/etiology/pathology&lt;/keyword&gt;&lt;keyword&gt;Cerebrovascular Disorders/diagnosis/drug therapy/*etiology&lt;/keyword&gt;&lt;keyword&gt;HIV Infections/complications&lt;/keyword&gt;&lt;keyword&gt;Humans&lt;/keyword&gt;&lt;keyword&gt;Thrombosis/metabolism&lt;/keyword&gt;&lt;keyword&gt;Tuberculosis, Meningeal/*complications&lt;/keyword&gt;&lt;/keywords&gt;&lt;dates&gt;&lt;year&gt;2009&lt;/year&gt;&lt;pub-dates&gt;&lt;date&gt;Sep&lt;/date&gt;&lt;/pub-dates&gt;&lt;/dates&gt;&lt;isbn&gt;1532-2742 (Electronic)&amp;#xD;0163-4453 (Linking)&lt;/isbn&gt;&lt;accession-num&gt;19635500&lt;/accession-num&gt;&lt;work-type&gt;Review&lt;/work-type&gt;&lt;urls&gt;&lt;related-urls&gt;&lt;url&gt;http://www.ncbi.nlm.nih.gov/pubmed/19635500&lt;/url&gt;&lt;/related-urls&gt;&lt;/urls&gt;&lt;electronic-resource-num&gt;10.1016/j.jinf.2009.07.012&lt;/electronic-resource-num&gt;&lt;language&gt;eng&lt;/language&gt;&lt;/record&gt;&lt;/Cite&gt;&lt;/EndNote&gt;</w:instrText>
        </w:r>
        <w:r w:rsidR="00261CB3" w:rsidRPr="00A73C45">
          <w:rPr>
            <w:rFonts w:cs="Arial"/>
            <w:color w:val="000000"/>
            <w:lang w:val="en-CA"/>
          </w:rPr>
          <w:fldChar w:fldCharType="separate"/>
        </w:r>
        <w:r w:rsidRPr="00A73C45">
          <w:rPr>
            <w:rFonts w:cs="Arial"/>
            <w:noProof/>
            <w:color w:val="000000"/>
            <w:vertAlign w:val="superscript"/>
            <w:lang w:val="en-CA"/>
          </w:rPr>
          <w:t>8</w:t>
        </w:r>
        <w:r w:rsidR="00261CB3" w:rsidRPr="00A73C45">
          <w:rPr>
            <w:rFonts w:cs="Arial"/>
            <w:color w:val="000000"/>
            <w:lang w:val="en-CA"/>
          </w:rPr>
          <w:fldChar w:fldCharType="end"/>
        </w:r>
      </w:hyperlink>
      <w:r w:rsidRPr="00A73C45">
        <w:rPr>
          <w:rFonts w:cs="Arial"/>
          <w:color w:val="000000"/>
          <w:lang w:val="en-CA"/>
        </w:rPr>
        <w:t>.</w:t>
      </w:r>
    </w:p>
    <w:p w:rsidR="0036319C" w:rsidRPr="00A73C45" w:rsidRDefault="0036319C" w:rsidP="00443409">
      <w:pPr>
        <w:autoSpaceDE w:val="0"/>
        <w:autoSpaceDN w:val="0"/>
        <w:adjustRightInd w:val="0"/>
        <w:rPr>
          <w:rFonts w:cs="Arial"/>
          <w:color w:val="000000"/>
          <w:lang w:val="en-CA"/>
        </w:rPr>
      </w:pPr>
    </w:p>
    <w:p w:rsidR="00443409" w:rsidRPr="00A73C45" w:rsidRDefault="004B7BE4" w:rsidP="00443409">
      <w:pPr>
        <w:autoSpaceDE w:val="0"/>
        <w:autoSpaceDN w:val="0"/>
        <w:adjustRightInd w:val="0"/>
        <w:rPr>
          <w:rFonts w:cs="Arial"/>
          <w:b/>
          <w:i/>
          <w:color w:val="000000"/>
          <w:lang w:val="en-CA"/>
        </w:rPr>
      </w:pPr>
      <w:r w:rsidRPr="00A73C45">
        <w:rPr>
          <w:rFonts w:cs="Arial"/>
          <w:b/>
          <w:i/>
          <w:color w:val="000000"/>
          <w:lang w:val="en-CA"/>
        </w:rPr>
        <w:t>A</w:t>
      </w:r>
      <w:r w:rsidR="00443409" w:rsidRPr="00A73C45">
        <w:rPr>
          <w:rFonts w:cs="Arial"/>
          <w:b/>
          <w:i/>
          <w:color w:val="000000"/>
          <w:lang w:val="en-CA"/>
        </w:rPr>
        <w:t xml:space="preserve">spirin </w:t>
      </w:r>
      <w:r w:rsidRPr="00A73C45">
        <w:rPr>
          <w:rFonts w:cs="Arial"/>
          <w:b/>
          <w:i/>
          <w:color w:val="000000"/>
          <w:lang w:val="en-CA"/>
        </w:rPr>
        <w:t>mechanism of action</w:t>
      </w:r>
    </w:p>
    <w:p w:rsidR="0084625B" w:rsidRDefault="00443409" w:rsidP="00443409">
      <w:pPr>
        <w:autoSpaceDE w:val="0"/>
        <w:autoSpaceDN w:val="0"/>
        <w:adjustRightInd w:val="0"/>
        <w:rPr>
          <w:rFonts w:cs="Arial"/>
          <w:lang w:val="en-CA"/>
        </w:rPr>
      </w:pPr>
      <w:r w:rsidRPr="00A73C45">
        <w:rPr>
          <w:rFonts w:cs="Arial"/>
          <w:lang w:val="en-CA"/>
        </w:rPr>
        <w:t>There are cogent reasons to believe that aspirin may reduce TBM-rel</w:t>
      </w:r>
      <w:r w:rsidR="00AC79D5">
        <w:rPr>
          <w:rFonts w:cs="Arial"/>
          <w:lang w:val="en-CA"/>
        </w:rPr>
        <w:t>ated infarcts and consequent ne</w:t>
      </w:r>
      <w:r w:rsidRPr="00A73C45">
        <w:rPr>
          <w:rFonts w:cs="Arial"/>
          <w:lang w:val="en-CA"/>
        </w:rPr>
        <w:t>u</w:t>
      </w:r>
      <w:r w:rsidR="00AC79D5">
        <w:rPr>
          <w:rFonts w:cs="Arial"/>
          <w:lang w:val="en-CA"/>
        </w:rPr>
        <w:t>r</w:t>
      </w:r>
      <w:r w:rsidRPr="00A73C45">
        <w:rPr>
          <w:rFonts w:cs="Arial"/>
          <w:lang w:val="en-CA"/>
        </w:rPr>
        <w:t>ological morbidity, when corticosteroids do not. Aspirin (acety</w:t>
      </w:r>
      <w:r w:rsidR="00AC79D5">
        <w:rPr>
          <w:rFonts w:cs="Arial"/>
          <w:lang w:val="en-CA"/>
        </w:rPr>
        <w:t>l</w:t>
      </w:r>
      <w:r w:rsidRPr="00A73C45">
        <w:rPr>
          <w:rFonts w:cs="Arial"/>
          <w:lang w:val="en-CA"/>
        </w:rPr>
        <w:t xml:space="preserve">salicylic acid) is the prototypical non-steroidal anti-inflammatory drug (NSAID), but one with unique anti-inflammatory and anti-thrombotic properties </w:t>
      </w:r>
      <w:hyperlink w:anchor="_ENREF_13" w:tooltip="Botting, 2010 #2566" w:history="1">
        <w:r w:rsidR="00261CB3" w:rsidRPr="00A73C45">
          <w:rPr>
            <w:rFonts w:cs="Arial"/>
            <w:lang w:val="en-CA"/>
          </w:rPr>
          <w:fldChar w:fldCharType="begin"/>
        </w:r>
        <w:r w:rsidRPr="00A73C45">
          <w:rPr>
            <w:rFonts w:cs="Arial"/>
            <w:lang w:val="en-CA"/>
          </w:rPr>
          <w:instrText xml:space="preserve"> ADDIN EN.CITE &lt;EndNote&gt;&lt;Cite&gt;&lt;Author&gt;Botting&lt;/Author&gt;&lt;Year&gt;2010&lt;/Year&gt;&lt;RecNum&gt;2566&lt;/RecNum&gt;&lt;DisplayText&gt;&lt;style face="superscript"&gt;13&lt;/style&gt;&lt;/DisplayText&gt;&lt;record&gt;&lt;rec-number&gt;2566&lt;/rec-number&gt;&lt;foreign-keys&gt;&lt;key app="EN" db-id="z2rtxr5xntetpoedesspswdyda2se0zarvpa"&gt;2566&lt;/key&gt;&lt;/foreign-keys&gt;&lt;ref-type name="Journal Article"&gt;17&lt;/ref-type&gt;&lt;contributors&gt;&lt;authors&gt;&lt;author&gt;Botting, R. M.&lt;/author&gt;&lt;/authors&gt;&lt;/contributors&gt;&lt;auth-address&gt;The William Harvey Research Institute, St. Bartholomew&amp;apos;s Hospital Medical College, Charterhouse Square, London EC1M 6BQ, UK. r.m.botting@qmul.ac.uk&lt;/auth-address&gt;&lt;titles&gt;&lt;title&gt;Vane&amp;apos;s discovery of the mechanism of action of aspirin changed our understanding of its clinical pharmacology&lt;/title&gt;&lt;secondary-title&gt;Pharmacol Rep&lt;/secondary-title&gt;&lt;alt-title&gt;Pharmacological reports : PR&lt;/alt-title&gt;&lt;/titles&gt;&lt;periodical&gt;&lt;full-title&gt;Pharmacol Rep&lt;/full-title&gt;&lt;abbr-1&gt;Pharmacological reports : PR&lt;/abbr-1&gt;&lt;/periodical&gt;&lt;alt-periodical&gt;&lt;full-title&gt;Pharmacol Rep&lt;/full-title&gt;&lt;abbr-1&gt;Pharmacological reports : PR&lt;/abbr-1&gt;&lt;/alt-periodical&gt;&lt;pages&gt;518-25&lt;/pages&gt;&lt;volume&gt;62&lt;/volume&gt;&lt;number&gt;3&lt;/number&gt;&lt;edition&gt;2010/07/16&lt;/edition&gt;&lt;keywords&gt;&lt;keyword&gt;Animals&lt;/keyword&gt;&lt;keyword&gt;Anti-Inflammatory Agents, Non-Steroidal/*pharmacology&lt;/keyword&gt;&lt;keyword&gt;Aspirin/*pharmacology&lt;/keyword&gt;&lt;keyword&gt;Cyclooxygenase 1/genetics/*metabolism&lt;/keyword&gt;&lt;keyword&gt;Cyclooxygenase 2/*metabolism&lt;/keyword&gt;&lt;keyword&gt;Cyclooxygenase 2 Inhibitors/pharmacology&lt;/keyword&gt;&lt;keyword&gt;Cyclooxygenase Inhibitors/*pharmacology&lt;/keyword&gt;&lt;keyword&gt;Diclofenac/pharmacology&lt;/keyword&gt;&lt;keyword&gt;Humans&lt;/keyword&gt;&lt;keyword&gt;Introns&lt;/keyword&gt;&lt;keyword&gt;Prostaglandin-Endoperoxide Synthases/*metabolism&lt;/keyword&gt;&lt;/keywords&gt;&lt;dates&gt;&lt;year&gt;2010&lt;/year&gt;&lt;pub-dates&gt;&lt;date&gt;May-Jun&lt;/date&gt;&lt;/pub-dates&gt;&lt;/dates&gt;&lt;isbn&gt;1734-1140 (Print)&amp;#xD;1734-1140 (Linking)&lt;/isbn&gt;&lt;accession-num&gt;20631416&lt;/accession-num&gt;&lt;work-type&gt;Review&lt;/work-type&gt;&lt;urls&gt;&lt;related-urls&gt;&lt;url&gt;http://www.ncbi.nlm.nih.gov/pubmed/20631416&lt;/url&gt;&lt;/related-urls&gt;&lt;/urls&gt;&lt;language&gt;eng&lt;/language&gt;&lt;/record&gt;&lt;/Cite&gt;&lt;/EndNote&gt;</w:instrText>
        </w:r>
        <w:r w:rsidR="00261CB3" w:rsidRPr="00A73C45">
          <w:rPr>
            <w:rFonts w:cs="Arial"/>
            <w:lang w:val="en-CA"/>
          </w:rPr>
          <w:fldChar w:fldCharType="separate"/>
        </w:r>
        <w:r w:rsidRPr="00A73C45">
          <w:rPr>
            <w:rFonts w:cs="Arial"/>
            <w:noProof/>
            <w:vertAlign w:val="superscript"/>
            <w:lang w:val="en-CA"/>
          </w:rPr>
          <w:t>13</w:t>
        </w:r>
        <w:r w:rsidR="00261CB3" w:rsidRPr="00A73C45">
          <w:rPr>
            <w:rFonts w:cs="Arial"/>
            <w:lang w:val="en-CA"/>
          </w:rPr>
          <w:fldChar w:fldCharType="end"/>
        </w:r>
      </w:hyperlink>
      <w:r w:rsidRPr="00A73C45">
        <w:rPr>
          <w:rFonts w:cs="Arial"/>
          <w:lang w:val="en-CA"/>
        </w:rPr>
        <w:t xml:space="preserve">. It acts by </w:t>
      </w:r>
      <w:r w:rsidR="00AC79D5" w:rsidRPr="00A73C45">
        <w:rPr>
          <w:rFonts w:cs="Arial"/>
          <w:lang w:val="en-CA"/>
        </w:rPr>
        <w:t>irreversibly</w:t>
      </w:r>
      <w:r w:rsidRPr="00A73C45">
        <w:rPr>
          <w:rFonts w:cs="Arial"/>
          <w:lang w:val="en-CA"/>
        </w:rPr>
        <w:t xml:space="preserve"> inhibiting the cyclooxygenase (COX) pathway of arach</w:t>
      </w:r>
      <w:r w:rsidR="0090706D">
        <w:rPr>
          <w:rFonts w:cs="Arial"/>
          <w:lang w:val="en-CA"/>
        </w:rPr>
        <w:t>i</w:t>
      </w:r>
      <w:r w:rsidRPr="00A73C45">
        <w:rPr>
          <w:rFonts w:cs="Arial"/>
          <w:lang w:val="en-CA"/>
        </w:rPr>
        <w:t>donic acid metabolism and the production of prostaglandins</w:t>
      </w:r>
      <w:r w:rsidR="002D0FCF" w:rsidRPr="00A73C45">
        <w:rPr>
          <w:rFonts w:cs="Arial"/>
          <w:lang w:val="en-CA"/>
        </w:rPr>
        <w:t xml:space="preserve"> (PG)</w:t>
      </w:r>
      <w:r w:rsidR="0084625B">
        <w:rPr>
          <w:rFonts w:cs="Arial"/>
          <w:lang w:val="en-CA"/>
        </w:rPr>
        <w:t xml:space="preserve">. </w:t>
      </w:r>
      <w:r w:rsidR="00E557D1">
        <w:rPr>
          <w:rFonts w:cs="Arial"/>
          <w:lang w:val="en-CA"/>
        </w:rPr>
        <w:t xml:space="preserve">Aspirin is licenced in the United Kingdom </w:t>
      </w:r>
      <w:r w:rsidR="0084625B">
        <w:rPr>
          <w:rFonts w:cs="Arial"/>
          <w:lang w:val="en-CA"/>
        </w:rPr>
        <w:t>at low dose (75-150mg) for the prevention of cerebrovascular disease (myocardial infarction and stroke, for example) and at higher dose (up to 4 grams daily</w:t>
      </w:r>
      <w:r w:rsidR="00FB4A71">
        <w:rPr>
          <w:rFonts w:cs="Arial"/>
          <w:lang w:val="en-CA"/>
        </w:rPr>
        <w:t>) for the treatmen</w:t>
      </w:r>
      <w:r w:rsidR="00E557D1">
        <w:rPr>
          <w:rFonts w:cs="Arial"/>
          <w:lang w:val="en-CA"/>
        </w:rPr>
        <w:t>t of inflammatory conditions (e.g. arthritis and rheumatic fever)</w:t>
      </w:r>
      <w:r w:rsidR="00FB4A71">
        <w:rPr>
          <w:rFonts w:cs="Arial"/>
          <w:lang w:val="en-CA"/>
        </w:rPr>
        <w:t>.</w:t>
      </w:r>
    </w:p>
    <w:p w:rsidR="00443409" w:rsidRDefault="00443409" w:rsidP="00443409">
      <w:pPr>
        <w:autoSpaceDE w:val="0"/>
        <w:autoSpaceDN w:val="0"/>
        <w:adjustRightInd w:val="0"/>
        <w:rPr>
          <w:rFonts w:cs="Arial"/>
          <w:color w:val="000000"/>
          <w:lang w:val="en-CA"/>
        </w:rPr>
      </w:pPr>
      <w:r w:rsidRPr="00A73C45">
        <w:rPr>
          <w:rFonts w:cs="Arial"/>
          <w:lang w:val="en-CA"/>
        </w:rPr>
        <w:t>Its anti-inflammatory effects are thought to occur at high dose (≥ 1 gram daily) and are produced by the inhibition of pro-inflammatory prostaglandins (e.g. PGE2</w:t>
      </w:r>
      <w:r w:rsidRPr="00A73C45">
        <w:rPr>
          <w:rFonts w:cs="Arial"/>
          <w:color w:val="292526"/>
          <w:lang w:val="en-CA"/>
        </w:rPr>
        <w:t xml:space="preserve">, PGF2α and PGD2) as well as the unstable prostanoids, prostacyclin and thromboxane A2 (TXA2) </w:t>
      </w:r>
      <w:hyperlink w:anchor="_ENREF_13" w:tooltip="Botting, 2010 #2566" w:history="1">
        <w:r w:rsidR="00261CB3" w:rsidRPr="00A73C45">
          <w:rPr>
            <w:rFonts w:cs="Arial"/>
            <w:color w:val="292526"/>
            <w:lang w:val="en-CA"/>
          </w:rPr>
          <w:fldChar w:fldCharType="begin"/>
        </w:r>
        <w:r w:rsidRPr="00A73C45">
          <w:rPr>
            <w:rFonts w:cs="Arial"/>
            <w:color w:val="292526"/>
            <w:lang w:val="en-CA"/>
          </w:rPr>
          <w:instrText xml:space="preserve"> ADDIN EN.CITE &lt;EndNote&gt;&lt;Cite&gt;&lt;Author&gt;Botting&lt;/Author&gt;&lt;Year&gt;2010&lt;/Year&gt;&lt;RecNum&gt;2566&lt;/RecNum&gt;&lt;DisplayText&gt;&lt;style face="superscript"&gt;13&lt;/style&gt;&lt;/DisplayText&gt;&lt;record&gt;&lt;rec-number&gt;2566&lt;/rec-number&gt;&lt;foreign-keys&gt;&lt;key app="EN" db-id="z2rtxr5xntetpoedesspswdyda2se0zarvpa"&gt;2566&lt;/key&gt;&lt;/foreign-keys&gt;&lt;ref-type name="Journal Article"&gt;17&lt;/ref-type&gt;&lt;contributors&gt;&lt;authors&gt;&lt;author&gt;Botting, R. M.&lt;/author&gt;&lt;/authors&gt;&lt;/contributors&gt;&lt;auth-address&gt;The William Harvey Research Institute, St. Bartholomew&amp;apos;s Hospital Medical College, Charterhouse Square, London EC1M 6BQ, UK. r.m.botting@qmul.ac.uk&lt;/auth-address&gt;&lt;titles&gt;&lt;title&gt;Vane&amp;apos;s discovery of the mechanism of action of aspirin changed our understanding of its clinical pharmacology&lt;/title&gt;&lt;secondary-title&gt;Pharmacol Rep&lt;/secondary-title&gt;&lt;alt-title&gt;Pharmacological reports : PR&lt;/alt-title&gt;&lt;/titles&gt;&lt;periodical&gt;&lt;full-title&gt;Pharmacol Rep&lt;/full-title&gt;&lt;abbr-1&gt;Pharmacological reports : PR&lt;/abbr-1&gt;&lt;/periodical&gt;&lt;alt-periodical&gt;&lt;full-title&gt;Pharmacol Rep&lt;/full-title&gt;&lt;abbr-1&gt;Pharmacological reports : PR&lt;/abbr-1&gt;&lt;/alt-periodical&gt;&lt;pages&gt;518-25&lt;/pages&gt;&lt;volume&gt;62&lt;/volume&gt;&lt;number&gt;3&lt;/number&gt;&lt;edition&gt;2010/07/16&lt;/edition&gt;&lt;keywords&gt;&lt;keyword&gt;Animals&lt;/keyword&gt;&lt;keyword&gt;Anti-Inflammatory Agents, Non-Steroidal/*pharmacology&lt;/keyword&gt;&lt;keyword&gt;Aspirin/*pharmacology&lt;/keyword&gt;&lt;keyword&gt;Cyclooxygenase 1/genetics/*metabolism&lt;/keyword&gt;&lt;keyword&gt;Cyclooxygenase 2/*metabolism&lt;/keyword&gt;&lt;keyword&gt;Cyclooxygenase 2 Inhibitors/pharmacology&lt;/keyword&gt;&lt;keyword&gt;Cyclooxygenase Inhibitors/*pharmacology&lt;/keyword&gt;&lt;keyword&gt;Diclofenac/pharmacology&lt;/keyword&gt;&lt;keyword&gt;Humans&lt;/keyword&gt;&lt;keyword&gt;Introns&lt;/keyword&gt;&lt;keyword&gt;Prostaglandin-Endoperoxide Synthases/*metabolism&lt;/keyword&gt;&lt;/keywords&gt;&lt;dates&gt;&lt;year&gt;2010&lt;/year&gt;&lt;pub-dates&gt;&lt;date&gt;May-Jun&lt;/date&gt;&lt;/pub-dates&gt;&lt;/dates&gt;&lt;isbn&gt;1734-1140 (Print)&amp;#xD;1734-1140 (Linking)&lt;/isbn&gt;&lt;accession-num&gt;20631416&lt;/accession-num&gt;&lt;work-type&gt;Review&lt;/work-type&gt;&lt;urls&gt;&lt;related-urls&gt;&lt;url&gt;http://www.ncbi.nlm.nih.gov/pubmed/20631416&lt;/url&gt;&lt;/related-urls&gt;&lt;/urls&gt;&lt;language&gt;eng&lt;/language&gt;&lt;/record&gt;&lt;/Cite&gt;&lt;/EndNote&gt;</w:instrText>
        </w:r>
        <w:r w:rsidR="00261CB3" w:rsidRPr="00A73C45">
          <w:rPr>
            <w:rFonts w:cs="Arial"/>
            <w:color w:val="292526"/>
            <w:lang w:val="en-CA"/>
          </w:rPr>
          <w:fldChar w:fldCharType="separate"/>
        </w:r>
        <w:r w:rsidRPr="00A73C45">
          <w:rPr>
            <w:rFonts w:cs="Arial"/>
            <w:noProof/>
            <w:color w:val="292526"/>
            <w:vertAlign w:val="superscript"/>
            <w:lang w:val="en-CA"/>
          </w:rPr>
          <w:t>13</w:t>
        </w:r>
        <w:r w:rsidR="00261CB3" w:rsidRPr="00A73C45">
          <w:rPr>
            <w:rFonts w:cs="Arial"/>
            <w:color w:val="292526"/>
            <w:lang w:val="en-CA"/>
          </w:rPr>
          <w:fldChar w:fldCharType="end"/>
        </w:r>
      </w:hyperlink>
      <w:r w:rsidRPr="00A73C45">
        <w:rPr>
          <w:rFonts w:cs="Arial"/>
          <w:color w:val="292526"/>
          <w:lang w:val="en-CA"/>
        </w:rPr>
        <w:t xml:space="preserve">. Low dose aspirin (75-150mg) has less inhibitory effect on the pro-inflammatory prostaglandins, but still causes clinically significant inhibition of TXA2 and platelet aggregation. Until recently, it was the inhibitory effect on platelets and thrombus formation that was thought to explain aspirin’s well-documented reduction in the risk of death from stroke and myocardial infarction </w:t>
      </w:r>
      <w:hyperlink w:anchor="_ENREF_14" w:tooltip="Raju, 2011 #2635" w:history="1">
        <w:r w:rsidR="00261CB3" w:rsidRPr="00A73C45">
          <w:rPr>
            <w:rFonts w:cs="Arial"/>
            <w:color w:val="292526"/>
            <w:lang w:val="en-CA"/>
          </w:rPr>
          <w:fldChar w:fldCharType="begin">
            <w:fldData xml:space="preserve">PEVuZE5vdGU+PENpdGU+PEF1dGhvcj5SYWp1PC9BdXRob3I+PFllYXI+MjAxMTwvWWVhcj48UmVj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</w:fldData>
          </w:fldChar>
        </w:r>
        <w:r w:rsidRPr="00A73C45">
          <w:rPr>
            <w:rFonts w:cs="Arial"/>
            <w:color w:val="292526"/>
            <w:lang w:val="en-CA"/>
          </w:rPr>
          <w:instrText xml:space="preserve"> ADDIN EN.CITE </w:instrText>
        </w:r>
        <w:r w:rsidR="00261CB3" w:rsidRPr="00A73C45">
          <w:rPr>
            <w:rFonts w:cs="Arial"/>
            <w:color w:val="292526"/>
            <w:lang w:val="en-CA"/>
          </w:rPr>
          <w:fldChar w:fldCharType="begin">
            <w:fldData xml:space="preserve">PEVuZE5vdGU+PENpdGU+PEF1dGhvcj5SYWp1PC9BdXRob3I+PFllYXI+MjAxMTwvWWVhcj48UmVj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</w:fldData>
          </w:fldChar>
        </w:r>
        <w:r w:rsidRPr="00A73C45">
          <w:rPr>
            <w:rFonts w:cs="Arial"/>
            <w:color w:val="292526"/>
            <w:lang w:val="en-CA"/>
          </w:rPr>
          <w:instrText xml:space="preserve"> ADDIN EN.CITE.DATA </w:instrText>
        </w:r>
        <w:r w:rsidR="00261CB3" w:rsidRPr="00A73C45">
          <w:rPr>
            <w:rFonts w:cs="Arial"/>
            <w:color w:val="292526"/>
            <w:lang w:val="en-CA"/>
          </w:rPr>
        </w:r>
        <w:r w:rsidR="00261CB3" w:rsidRPr="00A73C45">
          <w:rPr>
            <w:rFonts w:cs="Arial"/>
            <w:color w:val="292526"/>
            <w:lang w:val="en-CA"/>
          </w:rPr>
          <w:fldChar w:fldCharType="end"/>
        </w:r>
        <w:r w:rsidR="00261CB3" w:rsidRPr="00A73C45">
          <w:rPr>
            <w:rFonts w:cs="Arial"/>
            <w:color w:val="292526"/>
            <w:lang w:val="en-CA"/>
          </w:rPr>
        </w:r>
        <w:r w:rsidR="00261CB3" w:rsidRPr="00A73C45">
          <w:rPr>
            <w:rFonts w:cs="Arial"/>
            <w:color w:val="292526"/>
            <w:lang w:val="en-CA"/>
          </w:rPr>
          <w:fldChar w:fldCharType="separate"/>
        </w:r>
        <w:r w:rsidRPr="00A73C45">
          <w:rPr>
            <w:rFonts w:cs="Arial"/>
            <w:noProof/>
            <w:color w:val="292526"/>
            <w:vertAlign w:val="superscript"/>
            <w:lang w:val="en-CA"/>
          </w:rPr>
          <w:t>14</w:t>
        </w:r>
        <w:r w:rsidR="00261CB3" w:rsidRPr="00A73C45">
          <w:rPr>
            <w:rFonts w:cs="Arial"/>
            <w:color w:val="292526"/>
            <w:lang w:val="en-CA"/>
          </w:rPr>
          <w:fldChar w:fldCharType="end"/>
        </w:r>
      </w:hyperlink>
      <w:r w:rsidRPr="00A73C45">
        <w:rPr>
          <w:rFonts w:cs="Arial"/>
          <w:color w:val="292526"/>
          <w:lang w:val="en-CA"/>
        </w:rPr>
        <w:t xml:space="preserve">. However, it is now appreciated that the beneficial effects of low dose aspirin may also </w:t>
      </w:r>
      <w:r w:rsidRPr="00A73C45">
        <w:rPr>
          <w:rFonts w:cs="Arial"/>
          <w:color w:val="000000"/>
          <w:lang w:val="en-CA"/>
        </w:rPr>
        <w:t>stem from its ability to trigger the production of 15-epi-lipoxins, a class of molecules (alongside recently discovered resolvins, protectins and maresins) which actively promote resolution of inflammation</w:t>
      </w:r>
      <w:hyperlink w:anchor="_ENREF_15" w:tooltip="Spite, 2010 #2577" w:history="1">
        <w:r w:rsidR="00261CB3" w:rsidRPr="00A73C45">
          <w:rPr>
            <w:rFonts w:cs="Arial"/>
            <w:color w:val="000000"/>
            <w:lang w:val="en-CA"/>
          </w:rPr>
          <w:fldChar w:fldCharType="begin">
            <w:fldData xml:space="preserve">PEVuZE5vdGU+PENpdGU+PEF1dGhvcj5TcGl0ZTwvQXV0aG9yPjxZZWFyPjIwMTA8L1llYXI+PFJl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</w:fldData>
          </w:fldChar>
        </w:r>
        <w:r w:rsidRPr="00A73C45">
          <w:rPr>
            <w:rFonts w:cs="Arial"/>
            <w:color w:val="000000"/>
            <w:lang w:val="en-CA"/>
          </w:rPr>
          <w:instrText xml:space="preserve"> ADDIN EN.CITE </w:instrText>
        </w:r>
        <w:r w:rsidR="00261CB3" w:rsidRPr="00A73C45">
          <w:rPr>
            <w:rFonts w:cs="Arial"/>
            <w:color w:val="000000"/>
            <w:lang w:val="en-CA"/>
          </w:rPr>
          <w:fldChar w:fldCharType="begin">
            <w:fldData xml:space="preserve">PEVuZE5vdGU+PENpdGU+PEF1dGhvcj5TcGl0ZTwvQXV0aG9yPjxZZWFyPjIwMTA8L1llYXI+PFJl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</w:fldData>
          </w:fldChar>
        </w:r>
        <w:r w:rsidRPr="00A73C45">
          <w:rPr>
            <w:rFonts w:cs="Arial"/>
            <w:color w:val="000000"/>
            <w:lang w:val="en-CA"/>
          </w:rPr>
          <w:instrText xml:space="preserve"> ADDIN EN.CITE.DATA </w:instrText>
        </w:r>
        <w:r w:rsidR="00261CB3" w:rsidRPr="00A73C45">
          <w:rPr>
            <w:rFonts w:cs="Arial"/>
            <w:color w:val="000000"/>
            <w:lang w:val="en-CA"/>
          </w:rPr>
        </w:r>
        <w:r w:rsidR="00261CB3" w:rsidRPr="00A73C45">
          <w:rPr>
            <w:rFonts w:cs="Arial"/>
            <w:color w:val="000000"/>
            <w:lang w:val="en-CA"/>
          </w:rPr>
          <w:fldChar w:fldCharType="end"/>
        </w:r>
        <w:r w:rsidR="00261CB3" w:rsidRPr="00A73C45">
          <w:rPr>
            <w:rFonts w:cs="Arial"/>
            <w:color w:val="000000"/>
            <w:lang w:val="en-CA"/>
          </w:rPr>
        </w:r>
        <w:r w:rsidR="00261CB3" w:rsidRPr="00A73C45">
          <w:rPr>
            <w:rFonts w:cs="Arial"/>
            <w:color w:val="000000"/>
            <w:lang w:val="en-CA"/>
          </w:rPr>
          <w:fldChar w:fldCharType="separate"/>
        </w:r>
        <w:r w:rsidRPr="00A73C45">
          <w:rPr>
            <w:rFonts w:cs="Arial"/>
            <w:noProof/>
            <w:color w:val="000000"/>
            <w:vertAlign w:val="superscript"/>
            <w:lang w:val="en-CA"/>
          </w:rPr>
          <w:t>15</w:t>
        </w:r>
        <w:r w:rsidR="00261CB3" w:rsidRPr="00A73C45">
          <w:rPr>
            <w:rFonts w:cs="Arial"/>
            <w:color w:val="000000"/>
            <w:lang w:val="en-CA"/>
          </w:rPr>
          <w:fldChar w:fldCharType="end"/>
        </w:r>
      </w:hyperlink>
      <w:r w:rsidRPr="00A73C45">
        <w:rPr>
          <w:rFonts w:cs="Arial"/>
          <w:color w:val="000000"/>
          <w:lang w:val="en-CA"/>
        </w:rPr>
        <w:t>. The ‘pro-resolution’ properties of aspirin are not shared with any other NSAID and represents a potentially unique mode of action by which low-dose aspirin, alongside the prevention of thrombosis and stroke, might speed resolution of intra-cerebral inflammation and improve outcome from TBM.</w:t>
      </w:r>
    </w:p>
    <w:p w:rsidR="0036319C" w:rsidRPr="00A73C45" w:rsidRDefault="0036319C" w:rsidP="00443409">
      <w:pPr>
        <w:autoSpaceDE w:val="0"/>
        <w:autoSpaceDN w:val="0"/>
        <w:adjustRightInd w:val="0"/>
        <w:rPr>
          <w:rFonts w:cs="Arial"/>
          <w:color w:val="000000"/>
          <w:lang w:val="en-CA"/>
        </w:rPr>
      </w:pPr>
    </w:p>
    <w:p w:rsidR="00443409" w:rsidRPr="00A73C45" w:rsidRDefault="00443409" w:rsidP="00443409">
      <w:pPr>
        <w:autoSpaceDE w:val="0"/>
        <w:autoSpaceDN w:val="0"/>
        <w:adjustRightInd w:val="0"/>
        <w:rPr>
          <w:rFonts w:cs="Arial"/>
          <w:b/>
          <w:i/>
          <w:color w:val="292526"/>
          <w:lang w:val="en-CA"/>
        </w:rPr>
      </w:pPr>
      <w:r w:rsidRPr="00A73C45">
        <w:rPr>
          <w:rFonts w:cs="Arial"/>
          <w:b/>
          <w:i/>
          <w:color w:val="292526"/>
          <w:lang w:val="en-CA"/>
        </w:rPr>
        <w:t>Clinical data supporting a role for aspirin in TBM treatment</w:t>
      </w:r>
    </w:p>
    <w:p w:rsidR="00443409" w:rsidRPr="00A73C45" w:rsidRDefault="00443409" w:rsidP="00443409">
      <w:pPr>
        <w:rPr>
          <w:rFonts w:cs="Arial"/>
          <w:color w:val="231F20"/>
          <w:lang w:val="en-CA"/>
        </w:rPr>
      </w:pPr>
      <w:r w:rsidRPr="00A73C45">
        <w:rPr>
          <w:rFonts w:cs="Arial"/>
          <w:lang w:val="en-CA"/>
        </w:rPr>
        <w:t xml:space="preserve">Two recent clinical studies suggest aspirin </w:t>
      </w:r>
      <w:r w:rsidR="00244855">
        <w:rPr>
          <w:rFonts w:cs="Arial"/>
          <w:lang w:val="en-CA"/>
        </w:rPr>
        <w:t xml:space="preserve">is safe when added to dexamethasone and </w:t>
      </w:r>
      <w:r w:rsidRPr="00A73C45">
        <w:rPr>
          <w:rFonts w:cs="Arial"/>
          <w:lang w:val="en-CA"/>
        </w:rPr>
        <w:t>may improve outcome from TBM. The first study randomised 118 Indian adults with TBM to standard anti-tuberculosis chemotherapy, with or without aspirin (150mg daily)</w:t>
      </w:r>
      <w:hyperlink w:anchor="_ENREF_16" w:tooltip="Misra, 2010 #2192" w:history="1">
        <w:r w:rsidR="00261CB3" w:rsidRPr="00A73C45">
          <w:rPr>
            <w:rFonts w:cs="Arial"/>
            <w:lang w:val="en-CA"/>
          </w:rPr>
          <w:fldChar w:fldCharType="begin">
            <w:fldData xml:space="preserve">PEVuZE5vdGU+PENpdGU+PEF1dGhvcj5NaXNyYTwvQXV0aG9yPjxZZWFyPjIwMTA8L1llYXI+PFJl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PEVuZE5vdGU+PENpdGU+PEF1dGhvcj5NaXNyYTwvQXV0aG9yPjxZZWFyPjIwMTA8L1llYXI+PFJl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16</w:t>
        </w:r>
        <w:r w:rsidR="00261CB3" w:rsidRPr="00A73C45">
          <w:rPr>
            <w:rFonts w:cs="Arial"/>
            <w:lang w:val="en-CA"/>
          </w:rPr>
          <w:fldChar w:fldCharType="end"/>
        </w:r>
      </w:hyperlink>
      <w:r w:rsidRPr="00A73C45">
        <w:rPr>
          <w:rFonts w:cs="Arial"/>
          <w:lang w:val="en-CA"/>
        </w:rPr>
        <w:t>. The investigators hypothesised that aspirin would reduce the incidence of stroke and t</w:t>
      </w:r>
      <w:r w:rsidRPr="00A73C45">
        <w:rPr>
          <w:rFonts w:cs="Arial"/>
          <w:color w:val="231F20"/>
          <w:lang w:val="en-CA"/>
        </w:rPr>
        <w:t xml:space="preserve">he primary </w:t>
      </w:r>
      <w:r w:rsidRPr="00A73C45">
        <w:rPr>
          <w:rFonts w:cs="Arial"/>
          <w:color w:val="231F20"/>
          <w:lang w:val="en-CA"/>
        </w:rPr>
        <w:lastRenderedPageBreak/>
        <w:t xml:space="preserve">endpoint was MRI-proven infarction by 3 months, with or without neurological deficit. </w:t>
      </w:r>
      <w:r w:rsidR="00C12977" w:rsidRPr="00A73C45">
        <w:rPr>
          <w:rFonts w:cs="Arial"/>
          <w:color w:val="231F20"/>
          <w:lang w:val="en-CA"/>
        </w:rPr>
        <w:t>By 3 months, MRI proven stroke occurred in 21 (33.3%) of all patients: 13 (43%) in the placebo arm and 8 (24%) in the aspirin group (P=0.18)</w:t>
      </w:r>
      <w:r w:rsidR="0032751C" w:rsidRPr="00A73C45">
        <w:rPr>
          <w:rFonts w:cs="Arial"/>
          <w:color w:val="231F20"/>
          <w:lang w:val="en-CA"/>
        </w:rPr>
        <w:t xml:space="preserve">. </w:t>
      </w:r>
      <w:r w:rsidRPr="00A73C45">
        <w:rPr>
          <w:rFonts w:cs="Arial"/>
          <w:color w:val="231F20"/>
          <w:lang w:val="en-CA"/>
        </w:rPr>
        <w:t>Aspirin was associated with a significant reduction in mortality (</w:t>
      </w:r>
      <w:r w:rsidR="0032751C" w:rsidRPr="00A73C45">
        <w:rPr>
          <w:rFonts w:cs="Arial"/>
          <w:color w:val="231F20"/>
          <w:lang w:val="en-CA"/>
        </w:rPr>
        <w:t xml:space="preserve">43% versus </w:t>
      </w:r>
      <w:r w:rsidRPr="00A73C45">
        <w:rPr>
          <w:rFonts w:cs="Arial"/>
          <w:color w:val="231F20"/>
          <w:lang w:val="en-CA"/>
        </w:rPr>
        <w:t xml:space="preserve">21.7%, P=0.02). The incidence of adverse events was not significantly different between the treatment groups and, in particular, there was no aspirin-associated gastro-intestinal bleeding reported. The results are hard to interpret, however, because of the variable use of prednisolone </w:t>
      </w:r>
      <w:r w:rsidR="00AC7503" w:rsidRPr="00A73C45">
        <w:rPr>
          <w:rFonts w:cs="Arial"/>
          <w:color w:val="231F20"/>
          <w:lang w:val="en-CA"/>
        </w:rPr>
        <w:t>across the treatment arms. Pred</w:t>
      </w:r>
      <w:r w:rsidRPr="00A73C45">
        <w:rPr>
          <w:rFonts w:cs="Arial"/>
          <w:color w:val="231F20"/>
          <w:lang w:val="en-CA"/>
        </w:rPr>
        <w:t>n</w:t>
      </w:r>
      <w:r w:rsidR="00AC7503" w:rsidRPr="00A73C45">
        <w:rPr>
          <w:rFonts w:cs="Arial"/>
          <w:color w:val="231F20"/>
          <w:lang w:val="en-CA"/>
        </w:rPr>
        <w:t>i</w:t>
      </w:r>
      <w:r w:rsidRPr="00A73C45">
        <w:rPr>
          <w:rFonts w:cs="Arial"/>
          <w:color w:val="231F20"/>
          <w:lang w:val="en-CA"/>
        </w:rPr>
        <w:t xml:space="preserve">solone was given for severe disease at baseline, or if a patient’s condition worsened after the start of treatment. Any effect of aspirin, especially on mortality, is hard to disentangle from that of the corticosteroids. </w:t>
      </w:r>
    </w:p>
    <w:p w:rsidR="00443409" w:rsidRDefault="00443409" w:rsidP="00443409">
      <w:pPr>
        <w:rPr>
          <w:rFonts w:cs="Arial"/>
          <w:lang w:val="en-CA"/>
        </w:rPr>
      </w:pPr>
      <w:r w:rsidRPr="00A73C45">
        <w:rPr>
          <w:rFonts w:cs="Arial"/>
          <w:color w:val="231F20"/>
          <w:lang w:val="en-CA"/>
        </w:rPr>
        <w:t xml:space="preserve"> A second study randomised </w:t>
      </w:r>
      <w:r w:rsidRPr="00A73C45">
        <w:rPr>
          <w:rFonts w:cs="Arial"/>
          <w:lang w:val="en-CA"/>
        </w:rPr>
        <w:t xml:space="preserve">146 South African children with TBM to standard anti-tuberculosis chemotherapy plus placebo (n=50), low-dose aspirin (75mg/24 hours) (n=47), or high-dose aspirin (100mg/kg/24hours) (n=49) </w:t>
      </w:r>
      <w:hyperlink w:anchor="_ENREF_17" w:tooltip="Schoeman, 2011 #2194" w:history="1">
        <w:r w:rsidR="00261CB3" w:rsidRPr="00A73C45">
          <w:rPr>
            <w:rFonts w:cs="Arial"/>
            <w:lang w:val="en-CA"/>
          </w:rPr>
          <w:fldChar w:fldCharType="begin">
            <w:fldData xml:space="preserve">PEVuZE5vdGU+PENpdGU+PEF1dGhvcj5TY2hvZW1hbjwvQXV0aG9yPjxZZWFyPjIwMTE8L1llYXI+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</w:fldData>
          </w:fldChar>
        </w:r>
        <w:r w:rsidRPr="00A73C45">
          <w:rPr>
            <w:rFonts w:cs="Arial"/>
            <w:lang w:val="en-CA"/>
          </w:rPr>
          <w:instrText xml:space="preserve"> ADDIN EN.CITE </w:instrText>
        </w:r>
        <w:r w:rsidR="00261CB3" w:rsidRPr="00A73C45">
          <w:rPr>
            <w:rFonts w:cs="Arial"/>
            <w:lang w:val="en-CA"/>
          </w:rPr>
          <w:fldChar w:fldCharType="begin">
            <w:fldData xml:space="preserve">PEVuZE5vdGU+PENpdGU+PEF1dGhvcj5TY2hvZW1hbjwvQXV0aG9yPjxZZWFyPjIwMTE8L1llYXI+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</w:fldData>
          </w:fldChar>
        </w:r>
        <w:r w:rsidRPr="00A73C45">
          <w:rPr>
            <w:rFonts w:cs="Arial"/>
            <w:lang w:val="en-CA"/>
          </w:rPr>
          <w:instrText xml:space="preserve"> ADDIN EN.CITE.DATA </w:instrText>
        </w:r>
        <w:r w:rsidR="00261CB3" w:rsidRPr="00A73C45">
          <w:rPr>
            <w:rFonts w:cs="Arial"/>
            <w:lang w:val="en-CA"/>
          </w:rPr>
        </w:r>
        <w:r w:rsidR="00261CB3" w:rsidRPr="00A73C45">
          <w:rPr>
            <w:rFonts w:cs="Arial"/>
            <w:lang w:val="en-CA"/>
          </w:rPr>
          <w:fldChar w:fldCharType="end"/>
        </w:r>
        <w:r w:rsidR="00261CB3" w:rsidRPr="00A73C45">
          <w:rPr>
            <w:rFonts w:cs="Arial"/>
            <w:lang w:val="en-CA"/>
          </w:rPr>
        </w:r>
        <w:r w:rsidR="00261CB3" w:rsidRPr="00A73C45">
          <w:rPr>
            <w:rFonts w:cs="Arial"/>
            <w:lang w:val="en-CA"/>
          </w:rPr>
          <w:fldChar w:fldCharType="separate"/>
        </w:r>
        <w:r w:rsidRPr="00A73C45">
          <w:rPr>
            <w:rFonts w:cs="Arial"/>
            <w:noProof/>
            <w:vertAlign w:val="superscript"/>
            <w:lang w:val="en-CA"/>
          </w:rPr>
          <w:t>17</w:t>
        </w:r>
        <w:r w:rsidR="00261CB3" w:rsidRPr="00A73C45">
          <w:rPr>
            <w:rFonts w:cs="Arial"/>
            <w:lang w:val="en-CA"/>
          </w:rPr>
          <w:fldChar w:fldCharType="end"/>
        </w:r>
      </w:hyperlink>
      <w:r w:rsidRPr="00A73C45">
        <w:rPr>
          <w:rFonts w:cs="Arial"/>
          <w:lang w:val="en-CA"/>
        </w:rPr>
        <w:t xml:space="preserve">. Aspirin has no significant impact on survival, but 9 children developed hemiplegia after the start of treatment and none of them received high-dose aspirin. Furthermore, the children in the high-dose aspirin group were significantly younger with more severe disease than the other treatment groups, yet their neurological outcomes were similar. Two children stopped aspirin early: one because of haematemesis and the other because of cerebral haemorrhage. Whether these patients received high or low dose aspirin was not reported. </w:t>
      </w:r>
    </w:p>
    <w:p w:rsidR="0036319C" w:rsidRPr="00A73C45" w:rsidRDefault="0036319C" w:rsidP="00443409">
      <w:pPr>
        <w:rPr>
          <w:rFonts w:cs="Arial"/>
          <w:lang w:val="en-CA"/>
        </w:rPr>
      </w:pPr>
    </w:p>
    <w:p w:rsidR="00443409" w:rsidRPr="00A73C45" w:rsidRDefault="00443409" w:rsidP="00443409">
      <w:pPr>
        <w:rPr>
          <w:rFonts w:cs="Arial"/>
          <w:b/>
          <w:i/>
          <w:lang w:val="en-CA"/>
        </w:rPr>
      </w:pPr>
      <w:r w:rsidRPr="00A73C45">
        <w:rPr>
          <w:rFonts w:cs="Arial"/>
          <w:b/>
          <w:i/>
          <w:snapToGrid w:val="0"/>
          <w:lang w:val="en-CA"/>
        </w:rPr>
        <w:t xml:space="preserve">Leukotriene A4 hydrolase genetic polymorphisms and aspirin </w:t>
      </w:r>
    </w:p>
    <w:p w:rsidR="00443409" w:rsidRPr="00A73C45" w:rsidRDefault="00443409" w:rsidP="00443409">
      <w:pPr>
        <w:pStyle w:val="BodyText2"/>
        <w:spacing w:line="360" w:lineRule="auto"/>
        <w:rPr>
          <w:rFonts w:ascii="Arial" w:hAnsi="Arial" w:cs="Arial"/>
          <w:i w:val="0"/>
          <w:snapToGrid w:val="0"/>
          <w:sz w:val="22"/>
          <w:szCs w:val="22"/>
          <w:lang w:val="en-CA"/>
        </w:rPr>
      </w:pPr>
      <w:r w:rsidRPr="00A73C45">
        <w:rPr>
          <w:rFonts w:ascii="Arial" w:hAnsi="Arial" w:cs="Arial"/>
          <w:i w:val="0"/>
          <w:sz w:val="22"/>
          <w:szCs w:val="22"/>
          <w:lang w:val="en-CA"/>
        </w:rPr>
        <w:t>There is recent evidence from Vietnamese adults with TBM, that the balance of pro- and anti-inflammatory eicosanoids play an important role in determining susceptibility to TBM and the choice and impact of adjunctive inflammatory therapies</w:t>
      </w:r>
      <w:r w:rsidRPr="00A73C45">
        <w:rPr>
          <w:rFonts w:ascii="Arial" w:hAnsi="Arial" w:cs="Arial"/>
          <w:sz w:val="22"/>
          <w:szCs w:val="22"/>
          <w:lang w:val="en-CA"/>
        </w:rPr>
        <w:t xml:space="preserve">. </w:t>
      </w:r>
      <w:r w:rsidRPr="00A73C45">
        <w:rPr>
          <w:rFonts w:ascii="Arial" w:hAnsi="Arial" w:cs="Arial"/>
          <w:i w:val="0"/>
          <w:sz w:val="22"/>
          <w:szCs w:val="22"/>
          <w:lang w:val="en-CA"/>
        </w:rPr>
        <w:t>Using the zebra fish model of mycobacterial infection, Tobin and others found a</w:t>
      </w:r>
      <w:r w:rsidRPr="00A73C45">
        <w:rPr>
          <w:rFonts w:ascii="Arial" w:hAnsi="Arial" w:cs="Arial"/>
          <w:i w:val="0"/>
          <w:snapToGrid w:val="0"/>
          <w:sz w:val="22"/>
          <w:szCs w:val="22"/>
          <w:lang w:val="en-CA"/>
        </w:rPr>
        <w:t xml:space="preserve"> polymorphism in the gene encoding the leukotriene A4 hydrolase (LTA4H) enzyme influenced tuberculosis susceptibility in both zebra fish and Vietnamese adults</w:t>
      </w:r>
      <w:hyperlink w:anchor="_ENREF_18" w:tooltip="Tobin, 2010 #1891" w:history="1">
        <w:r w:rsidR="00261CB3" w:rsidRPr="00A73C45">
          <w:rPr>
            <w:rFonts w:ascii="Arial" w:hAnsi="Arial" w:cs="Arial"/>
            <w:i w:val="0"/>
            <w:snapToGrid w:val="0"/>
            <w:sz w:val="22"/>
            <w:szCs w:val="22"/>
            <w:lang w:val="en-CA"/>
          </w:rPr>
          <w:fldChar w:fldCharType="begin">
            <w:fldData xml:space="preserve">PEVuZE5vdGU+PENpdGU+PEF1dGhvcj5Ub2JpbjwvQXV0aG9yPjxZZWFyPjIwMTA8L1llYXI+PFJl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</w:fldData>
          </w:fldChar>
        </w:r>
        <w:r w:rsidRPr="00A73C45">
          <w:rPr>
            <w:rFonts w:ascii="Arial" w:hAnsi="Arial" w:cs="Arial"/>
            <w:i w:val="0"/>
            <w:snapToGrid w:val="0"/>
            <w:sz w:val="22"/>
            <w:szCs w:val="22"/>
            <w:lang w:val="en-CA"/>
          </w:rPr>
          <w:instrText xml:space="preserve"> ADDIN EN.CITE </w:instrText>
        </w:r>
        <w:r w:rsidR="00261CB3" w:rsidRPr="00A73C45">
          <w:rPr>
            <w:rFonts w:ascii="Arial" w:hAnsi="Arial" w:cs="Arial"/>
            <w:i w:val="0"/>
            <w:snapToGrid w:val="0"/>
            <w:sz w:val="22"/>
            <w:szCs w:val="22"/>
            <w:lang w:val="en-CA"/>
          </w:rPr>
          <w:fldChar w:fldCharType="begin">
            <w:fldData xml:space="preserve">PEVuZE5vdGU+PENpdGU+PEF1dGhvcj5Ub2JpbjwvQXV0aG9yPjxZZWFyPjIwMTA8L1llYXI+PFJl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</w:fldData>
          </w:fldChar>
        </w:r>
        <w:r w:rsidRPr="00A73C45">
          <w:rPr>
            <w:rFonts w:ascii="Arial" w:hAnsi="Arial" w:cs="Arial"/>
            <w:i w:val="0"/>
            <w:snapToGrid w:val="0"/>
            <w:sz w:val="22"/>
            <w:szCs w:val="22"/>
            <w:lang w:val="en-CA"/>
          </w:rPr>
          <w:instrText xml:space="preserve"> ADDIN EN.CITE.DATA </w:instrText>
        </w:r>
        <w:r w:rsidR="00261CB3" w:rsidRPr="00A73C45">
          <w:rPr>
            <w:rFonts w:ascii="Arial" w:hAnsi="Arial" w:cs="Arial"/>
            <w:i w:val="0"/>
            <w:snapToGrid w:val="0"/>
            <w:sz w:val="22"/>
            <w:szCs w:val="22"/>
            <w:lang w:val="en-CA"/>
          </w:rPr>
        </w:r>
        <w:r w:rsidR="00261CB3" w:rsidRPr="00A73C45">
          <w:rPr>
            <w:rFonts w:ascii="Arial" w:hAnsi="Arial" w:cs="Arial"/>
            <w:i w:val="0"/>
            <w:snapToGrid w:val="0"/>
            <w:sz w:val="22"/>
            <w:szCs w:val="22"/>
            <w:lang w:val="en-CA"/>
          </w:rPr>
          <w:fldChar w:fldCharType="end"/>
        </w:r>
        <w:r w:rsidR="00261CB3" w:rsidRPr="00A73C45">
          <w:rPr>
            <w:rFonts w:ascii="Arial" w:hAnsi="Arial" w:cs="Arial"/>
            <w:i w:val="0"/>
            <w:snapToGrid w:val="0"/>
            <w:sz w:val="22"/>
            <w:szCs w:val="22"/>
            <w:lang w:val="en-CA"/>
          </w:rPr>
        </w:r>
        <w:r w:rsidR="00261CB3" w:rsidRPr="00A73C45">
          <w:rPr>
            <w:rFonts w:ascii="Arial" w:hAnsi="Arial" w:cs="Arial"/>
            <w:i w:val="0"/>
            <w:snapToGrid w:val="0"/>
            <w:sz w:val="22"/>
            <w:szCs w:val="22"/>
            <w:lang w:val="en-CA"/>
          </w:rPr>
          <w:fldChar w:fldCharType="separate"/>
        </w:r>
        <w:r w:rsidRPr="00A73C45">
          <w:rPr>
            <w:rFonts w:ascii="Arial" w:hAnsi="Arial" w:cs="Arial"/>
            <w:i w:val="0"/>
            <w:noProof/>
            <w:snapToGrid w:val="0"/>
            <w:sz w:val="22"/>
            <w:szCs w:val="22"/>
            <w:vertAlign w:val="superscript"/>
            <w:lang w:val="en-CA"/>
          </w:rPr>
          <w:t>18</w:t>
        </w:r>
        <w:r w:rsidR="00261CB3" w:rsidRPr="00A73C45">
          <w:rPr>
            <w:rFonts w:ascii="Arial" w:hAnsi="Arial" w:cs="Arial"/>
            <w:i w:val="0"/>
            <w:snapToGrid w:val="0"/>
            <w:sz w:val="22"/>
            <w:szCs w:val="22"/>
            <w:lang w:val="en-CA"/>
          </w:rPr>
          <w:fldChar w:fldCharType="end"/>
        </w:r>
      </w:hyperlink>
      <w:r w:rsidRPr="00A73C45">
        <w:rPr>
          <w:rFonts w:ascii="Arial" w:hAnsi="Arial" w:cs="Arial"/>
          <w:i w:val="0"/>
          <w:snapToGrid w:val="0"/>
          <w:sz w:val="22"/>
          <w:szCs w:val="22"/>
          <w:lang w:val="en-CA"/>
        </w:rPr>
        <w:t xml:space="preserve">. LTA4H controls the expression of pro- and anti-inflammatory eicosanoids, which in turn control the expression of the cytokine TNF-α (see </w:t>
      </w:r>
      <w:r w:rsidRPr="00A73C45">
        <w:rPr>
          <w:rFonts w:ascii="Arial" w:hAnsi="Arial" w:cs="Arial"/>
          <w:b/>
          <w:i w:val="0"/>
          <w:snapToGrid w:val="0"/>
          <w:sz w:val="22"/>
          <w:szCs w:val="22"/>
          <w:lang w:val="en-CA"/>
        </w:rPr>
        <w:t>figure 1</w:t>
      </w:r>
      <w:r w:rsidRPr="00A73C45">
        <w:rPr>
          <w:rFonts w:ascii="Arial" w:hAnsi="Arial" w:cs="Arial"/>
          <w:i w:val="0"/>
          <w:snapToGrid w:val="0"/>
          <w:sz w:val="22"/>
          <w:szCs w:val="22"/>
          <w:lang w:val="en-CA"/>
        </w:rPr>
        <w:t xml:space="preserve">). </w:t>
      </w:r>
    </w:p>
    <w:p w:rsidR="00443409" w:rsidRPr="00A73C45" w:rsidRDefault="00443409" w:rsidP="00443409">
      <w:pPr>
        <w:rPr>
          <w:rFonts w:cs="Arial"/>
          <w:b/>
          <w:snapToGrid w:val="0"/>
          <w:lang w:val="en-CA"/>
        </w:rPr>
      </w:pPr>
      <w:r w:rsidRPr="00A73C45">
        <w:rPr>
          <w:rFonts w:cs="Arial"/>
          <w:b/>
          <w:snapToGrid w:val="0"/>
          <w:lang w:val="en-CA"/>
        </w:rPr>
        <w:t>Figure 1. LTA4H genotype modulates susceptibility to mycobacterial infection</w:t>
      </w:r>
    </w:p>
    <w:p w:rsidR="0032751C" w:rsidRPr="00A73C45" w:rsidRDefault="00016928" w:rsidP="00443409">
      <w:pPr>
        <w:jc w:val="left"/>
        <w:rPr>
          <w:rFonts w:cs="Arial"/>
          <w:i/>
          <w:noProof/>
          <w:lang w:val="en-CA" w:eastAsia="en-GB"/>
        </w:rPr>
      </w:pPr>
      <w:r w:rsidRPr="00A73C45">
        <w:rPr>
          <w:rFonts w:cs="Arial"/>
          <w:i/>
          <w:noProof/>
          <w:lang w:val="en-US"/>
        </w:rPr>
        <w:drawing>
          <wp:inline distT="0" distB="0" distL="0" distR="0" wp14:anchorId="5B011B0D" wp14:editId="5477ABAC">
            <wp:extent cx="2719705" cy="1524000"/>
            <wp:effectExtent l="0" t="0" r="0" b="0"/>
            <wp:docPr id="1" name="Picture 5" descr="Tobin, graphical abstra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bin, graphical abstract 1"/>
                    <pic:cNvPicPr>
                      <a:picLocks noChangeAspect="1" noChangeArrowheads="1"/>
                    </pic:cNvPicPr>
                  </pic:nvPicPr>
                  <pic:blipFill>
                    <a:blip r:embed="rId14" cstate="print">
                      <a:extLst>
                        <a:ext uri="{28A0092B-C50C-407E-A947-70E740481C1C}">
                          <a14:useLocalDpi xmlns:a14="http://schemas.microsoft.com/office/drawing/2010/main" val="0"/>
                        </a:ext>
                      </a:extLst>
                    </a:blip>
                    <a:srcRect r="28755"/>
                    <a:stretch>
                      <a:fillRect/>
                    </a:stretch>
                  </pic:blipFill>
                  <pic:spPr bwMode="auto">
                    <a:xfrm>
                      <a:off x="0" y="0"/>
                      <a:ext cx="2719705" cy="1524000"/>
                    </a:xfrm>
                    <a:prstGeom prst="rect">
                      <a:avLst/>
                    </a:prstGeom>
                    <a:noFill/>
                    <a:ln>
                      <a:noFill/>
                    </a:ln>
                  </pic:spPr>
                </pic:pic>
              </a:graphicData>
            </a:graphic>
          </wp:inline>
        </w:drawing>
      </w:r>
    </w:p>
    <w:p w:rsidR="00443409" w:rsidRPr="00A73C45" w:rsidRDefault="00443409" w:rsidP="0032751C">
      <w:pPr>
        <w:rPr>
          <w:rFonts w:cs="Arial"/>
          <w:snapToGrid w:val="0"/>
          <w:lang w:val="en-CA"/>
        </w:rPr>
      </w:pPr>
      <w:r w:rsidRPr="00A73C45">
        <w:rPr>
          <w:rFonts w:cs="Arial"/>
          <w:snapToGrid w:val="0"/>
          <w:lang w:val="en-CA"/>
        </w:rPr>
        <w:lastRenderedPageBreak/>
        <w:t xml:space="preserve">Zebra fish at both poles of the inflammatory response (minor and major allele homozygotes) were unable to control mycobacterial replication within granulomas, whereas those fish with an intermediate inflammatory response (the heterozygotes) controlled the infection. The phenotype of the homozygous fish could be changed to that of the heterozygotes through the respective addition of pro-inflammatory leukotriene B4 (LTB4) or TNF-α to LTA4H low fish, or by inhibition of TNF-α in the LTA4H high fish by either aspirin or dexamethasone </w:t>
      </w:r>
      <w:hyperlink w:anchor="_ENREF_19" w:tooltip="Tobin, 2012 #763" w:history="1">
        <w:r w:rsidR="00261CB3" w:rsidRPr="00A73C45">
          <w:rPr>
            <w:rFonts w:cs="Arial"/>
            <w:snapToGrid w:val="0"/>
            <w:lang w:val="en-CA"/>
          </w:rPr>
          <w:fldChar w:fldCharType="begin">
            <w:fldData xml:space="preserve">PEVuZE5vdGU+PENpdGU+PEF1dGhvcj5Ub2JpbjwvQXV0aG9yPjxZZWFyPjIwMTI8L1llYXI+PFJl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</w:fldData>
          </w:fldChar>
        </w:r>
        <w:r w:rsidRPr="00A73C45">
          <w:rPr>
            <w:rFonts w:cs="Arial"/>
            <w:snapToGrid w:val="0"/>
            <w:lang w:val="en-CA"/>
          </w:rPr>
          <w:instrText xml:space="preserve"> ADDIN EN.CITE </w:instrText>
        </w:r>
        <w:r w:rsidR="00261CB3" w:rsidRPr="00A73C45">
          <w:rPr>
            <w:rFonts w:cs="Arial"/>
            <w:snapToGrid w:val="0"/>
            <w:lang w:val="en-CA"/>
          </w:rPr>
          <w:fldChar w:fldCharType="begin">
            <w:fldData xml:space="preserve">PEVuZE5vdGU+PENpdGU+PEF1dGhvcj5Ub2JpbjwvQXV0aG9yPjxZZWFyPjIwMTI8L1llYXI+PFJl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</w:fldData>
          </w:fldChar>
        </w:r>
        <w:r w:rsidRPr="00A73C45">
          <w:rPr>
            <w:rFonts w:cs="Arial"/>
            <w:snapToGrid w:val="0"/>
            <w:lang w:val="en-CA"/>
          </w:rPr>
          <w:instrText xml:space="preserve"> ADDIN EN.CITE.DATA </w:instrText>
        </w:r>
        <w:r w:rsidR="00261CB3" w:rsidRPr="00A73C45">
          <w:rPr>
            <w:rFonts w:cs="Arial"/>
            <w:snapToGrid w:val="0"/>
            <w:lang w:val="en-CA"/>
          </w:rPr>
        </w:r>
        <w:r w:rsidR="00261CB3" w:rsidRPr="00A73C45">
          <w:rPr>
            <w:rFonts w:cs="Arial"/>
            <w:snapToGrid w:val="0"/>
            <w:lang w:val="en-CA"/>
          </w:rPr>
          <w:fldChar w:fldCharType="end"/>
        </w:r>
        <w:r w:rsidR="00261CB3" w:rsidRPr="00A73C45">
          <w:rPr>
            <w:rFonts w:cs="Arial"/>
            <w:snapToGrid w:val="0"/>
            <w:lang w:val="en-CA"/>
          </w:rPr>
        </w:r>
        <w:r w:rsidR="00261CB3" w:rsidRPr="00A73C45">
          <w:rPr>
            <w:rFonts w:cs="Arial"/>
            <w:snapToGrid w:val="0"/>
            <w:lang w:val="en-CA"/>
          </w:rPr>
          <w:fldChar w:fldCharType="separate"/>
        </w:r>
        <w:r w:rsidRPr="00A73C45">
          <w:rPr>
            <w:rFonts w:cs="Arial"/>
            <w:noProof/>
            <w:snapToGrid w:val="0"/>
            <w:vertAlign w:val="superscript"/>
            <w:lang w:val="en-CA"/>
          </w:rPr>
          <w:t>19</w:t>
        </w:r>
        <w:r w:rsidR="00261CB3" w:rsidRPr="00A73C45">
          <w:rPr>
            <w:rFonts w:cs="Arial"/>
            <w:snapToGrid w:val="0"/>
            <w:lang w:val="en-CA"/>
          </w:rPr>
          <w:fldChar w:fldCharType="end"/>
        </w:r>
      </w:hyperlink>
      <w:r w:rsidRPr="00A73C45">
        <w:rPr>
          <w:rFonts w:cs="Arial"/>
          <w:snapToGrid w:val="0"/>
          <w:lang w:val="en-CA"/>
        </w:rPr>
        <w:t>. Furthermore, in Vietnamese adults recruited to the earlier dexamethasone trial, only major allele homozygous adults with the hyper</w:t>
      </w:r>
      <w:r w:rsidR="0084625B">
        <w:rPr>
          <w:rFonts w:cs="Arial"/>
          <w:snapToGrid w:val="0"/>
          <w:lang w:val="en-CA"/>
        </w:rPr>
        <w:t>-</w:t>
      </w:r>
      <w:r w:rsidRPr="00A73C45">
        <w:rPr>
          <w:rFonts w:cs="Arial"/>
          <w:snapToGrid w:val="0"/>
          <w:lang w:val="en-CA"/>
        </w:rPr>
        <w:t>inflammatory phenotype benefited from dexamethasone (</w:t>
      </w:r>
      <w:r w:rsidRPr="00A73C45">
        <w:rPr>
          <w:rFonts w:cs="Arial"/>
          <w:b/>
          <w:snapToGrid w:val="0"/>
          <w:lang w:val="en-CA"/>
        </w:rPr>
        <w:t>Figure 2</w:t>
      </w:r>
      <w:r w:rsidRPr="00A73C45">
        <w:rPr>
          <w:rFonts w:cs="Arial"/>
          <w:snapToGrid w:val="0"/>
          <w:lang w:val="en-CA"/>
        </w:rPr>
        <w:t>). Indeed, dexamethasone treatment of those with a hypo-inflammatory phenotype appeared to be detrimental.</w:t>
      </w:r>
    </w:p>
    <w:p w:rsidR="00443409" w:rsidRPr="00A73C45" w:rsidRDefault="00443409" w:rsidP="00443409">
      <w:pPr>
        <w:pStyle w:val="BodyText2"/>
        <w:spacing w:line="360" w:lineRule="auto"/>
        <w:rPr>
          <w:rFonts w:ascii="Arial" w:hAnsi="Arial" w:cs="Arial"/>
          <w:b/>
          <w:i w:val="0"/>
          <w:snapToGrid w:val="0"/>
          <w:sz w:val="22"/>
          <w:szCs w:val="22"/>
          <w:lang w:val="en-CA"/>
        </w:rPr>
      </w:pPr>
      <w:r w:rsidRPr="00A73C45">
        <w:rPr>
          <w:rFonts w:ascii="Arial" w:hAnsi="Arial" w:cs="Arial"/>
          <w:b/>
          <w:i w:val="0"/>
          <w:snapToGrid w:val="0"/>
          <w:sz w:val="22"/>
          <w:szCs w:val="22"/>
          <w:lang w:val="en-CA"/>
        </w:rPr>
        <w:t>Figure 2. LTA4H genotype influences survival from TBM</w:t>
      </w:r>
      <w:r w:rsidR="00AC7503" w:rsidRPr="00A73C45">
        <w:rPr>
          <w:rFonts w:ascii="Arial" w:hAnsi="Arial" w:cs="Arial"/>
          <w:b/>
          <w:i w:val="0"/>
          <w:snapToGrid w:val="0"/>
          <w:sz w:val="22"/>
          <w:szCs w:val="22"/>
          <w:lang w:val="en-CA"/>
        </w:rPr>
        <w:t xml:space="preserve"> in all patients (A)</w:t>
      </w:r>
      <w:r w:rsidRPr="00A73C45">
        <w:rPr>
          <w:rFonts w:ascii="Arial" w:hAnsi="Arial" w:cs="Arial"/>
          <w:b/>
          <w:i w:val="0"/>
          <w:snapToGrid w:val="0"/>
          <w:sz w:val="22"/>
          <w:szCs w:val="22"/>
          <w:lang w:val="en-CA"/>
        </w:rPr>
        <w:t>, pre-tre</w:t>
      </w:r>
      <w:r w:rsidR="00AC7503" w:rsidRPr="00A73C45">
        <w:rPr>
          <w:rFonts w:ascii="Arial" w:hAnsi="Arial" w:cs="Arial"/>
          <w:b/>
          <w:i w:val="0"/>
          <w:snapToGrid w:val="0"/>
          <w:sz w:val="22"/>
          <w:szCs w:val="22"/>
          <w:lang w:val="en-CA"/>
        </w:rPr>
        <w:t>atment CSF leucocyte counts (B)</w:t>
      </w:r>
      <w:r w:rsidRPr="00A73C45">
        <w:rPr>
          <w:rFonts w:ascii="Arial" w:hAnsi="Arial" w:cs="Arial"/>
          <w:b/>
          <w:i w:val="0"/>
          <w:snapToGrid w:val="0"/>
          <w:sz w:val="22"/>
          <w:szCs w:val="22"/>
          <w:lang w:val="en-CA"/>
        </w:rPr>
        <w:t xml:space="preserve">, and </w:t>
      </w:r>
      <w:r w:rsidR="00AC7503" w:rsidRPr="00A73C45">
        <w:rPr>
          <w:rFonts w:ascii="Arial" w:hAnsi="Arial" w:cs="Arial"/>
          <w:b/>
          <w:i w:val="0"/>
          <w:snapToGrid w:val="0"/>
          <w:sz w:val="22"/>
          <w:szCs w:val="22"/>
          <w:lang w:val="en-CA"/>
        </w:rPr>
        <w:t xml:space="preserve">survival </w:t>
      </w:r>
      <w:r w:rsidRPr="00A73C45">
        <w:rPr>
          <w:rFonts w:ascii="Arial" w:hAnsi="Arial" w:cs="Arial"/>
          <w:b/>
          <w:i w:val="0"/>
          <w:snapToGrid w:val="0"/>
          <w:sz w:val="22"/>
          <w:szCs w:val="22"/>
          <w:lang w:val="en-CA"/>
        </w:rPr>
        <w:t xml:space="preserve">in those who did not (C) and did (D) receive </w:t>
      </w:r>
      <w:r w:rsidR="00AC7503" w:rsidRPr="00A73C45">
        <w:rPr>
          <w:rFonts w:ascii="Arial" w:hAnsi="Arial" w:cs="Arial"/>
          <w:b/>
          <w:i w:val="0"/>
          <w:snapToGrid w:val="0"/>
          <w:sz w:val="22"/>
          <w:szCs w:val="22"/>
          <w:lang w:val="en-CA"/>
        </w:rPr>
        <w:t xml:space="preserve">adjunctive </w:t>
      </w:r>
      <w:r w:rsidRPr="00A73C45">
        <w:rPr>
          <w:rFonts w:ascii="Arial" w:hAnsi="Arial" w:cs="Arial"/>
          <w:b/>
          <w:i w:val="0"/>
          <w:snapToGrid w:val="0"/>
          <w:sz w:val="22"/>
          <w:szCs w:val="22"/>
          <w:lang w:val="en-CA"/>
        </w:rPr>
        <w:t>dexamethasone.</w:t>
      </w:r>
    </w:p>
    <w:p w:rsidR="00443409" w:rsidRPr="00A73C45" w:rsidRDefault="00016928" w:rsidP="00443409">
      <w:pPr>
        <w:pStyle w:val="BodyText2"/>
        <w:spacing w:line="360" w:lineRule="auto"/>
        <w:rPr>
          <w:rFonts w:ascii="Arial" w:hAnsi="Arial" w:cs="Arial"/>
          <w:i w:val="0"/>
          <w:snapToGrid w:val="0"/>
          <w:sz w:val="22"/>
          <w:szCs w:val="22"/>
          <w:lang w:val="en-CA"/>
        </w:rPr>
      </w:pPr>
      <w:r w:rsidRPr="00A73C45">
        <w:rPr>
          <w:rFonts w:ascii="Arial" w:hAnsi="Arial" w:cs="Arial"/>
          <w:noProof/>
          <w:sz w:val="22"/>
          <w:szCs w:val="22"/>
          <w:lang w:val="en-US"/>
        </w:rPr>
        <w:drawing>
          <wp:inline distT="0" distB="0" distL="0" distR="0" wp14:anchorId="0E01B92F" wp14:editId="7329EF6D">
            <wp:extent cx="5732780" cy="2860675"/>
            <wp:effectExtent l="0" t="0" r="7620" b="9525"/>
            <wp:docPr id="2" name="Picture 1" descr="An external file that holds a picture, illustration, etc.&#10;Object name is nihms348508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nihms348508f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2860675"/>
                    </a:xfrm>
                    <a:prstGeom prst="rect">
                      <a:avLst/>
                    </a:prstGeom>
                    <a:noFill/>
                    <a:ln>
                      <a:noFill/>
                    </a:ln>
                  </pic:spPr>
                </pic:pic>
              </a:graphicData>
            </a:graphic>
          </wp:inline>
        </w:drawing>
      </w:r>
    </w:p>
    <w:p w:rsidR="00443409" w:rsidRPr="00A73C45" w:rsidRDefault="00443409" w:rsidP="00443409">
      <w:pPr>
        <w:pStyle w:val="BodyText2"/>
        <w:spacing w:line="360" w:lineRule="auto"/>
        <w:rPr>
          <w:rFonts w:ascii="Arial" w:hAnsi="Arial" w:cs="Arial"/>
          <w:i w:val="0"/>
          <w:snapToGrid w:val="0"/>
          <w:sz w:val="22"/>
          <w:szCs w:val="22"/>
          <w:lang w:val="en-CA"/>
        </w:rPr>
      </w:pPr>
    </w:p>
    <w:p w:rsidR="00443409" w:rsidRPr="00A73C45" w:rsidRDefault="00443409" w:rsidP="001049BE">
      <w:pPr>
        <w:pStyle w:val="BodyText2"/>
        <w:spacing w:line="360" w:lineRule="auto"/>
        <w:rPr>
          <w:rFonts w:ascii="Arial" w:hAnsi="Arial" w:cs="Arial"/>
          <w:i w:val="0"/>
          <w:snapToGrid w:val="0"/>
          <w:sz w:val="22"/>
          <w:szCs w:val="22"/>
          <w:lang w:val="en-CA"/>
        </w:rPr>
      </w:pPr>
    </w:p>
    <w:p w:rsidR="00443409" w:rsidRDefault="00443409" w:rsidP="001049BE">
      <w:pPr>
        <w:pStyle w:val="BodyText2"/>
        <w:spacing w:line="360" w:lineRule="auto"/>
        <w:rPr>
          <w:rFonts w:ascii="Arial" w:hAnsi="Arial" w:cs="Arial"/>
          <w:i w:val="0"/>
          <w:snapToGrid w:val="0"/>
          <w:sz w:val="22"/>
          <w:szCs w:val="22"/>
          <w:lang w:val="en-CA"/>
        </w:rPr>
      </w:pPr>
      <w:r w:rsidRPr="00A73C45">
        <w:rPr>
          <w:rFonts w:ascii="Arial" w:hAnsi="Arial" w:cs="Arial"/>
          <w:i w:val="0"/>
          <w:snapToGrid w:val="0"/>
          <w:sz w:val="22"/>
          <w:szCs w:val="22"/>
          <w:lang w:val="en-CA"/>
        </w:rPr>
        <w:t xml:space="preserve">These findings need replication in a different population, and such studies are currently underway at OUCRU, but they provide an elegant </w:t>
      </w:r>
      <w:r w:rsidR="004D1F67" w:rsidRPr="00A73C45">
        <w:rPr>
          <w:rFonts w:ascii="Arial" w:hAnsi="Arial" w:cs="Arial"/>
          <w:i w:val="0"/>
          <w:snapToGrid w:val="0"/>
          <w:sz w:val="22"/>
          <w:szCs w:val="22"/>
          <w:lang w:val="en-CA"/>
        </w:rPr>
        <w:t xml:space="preserve">potential </w:t>
      </w:r>
      <w:r w:rsidRPr="00A73C45">
        <w:rPr>
          <w:rFonts w:ascii="Arial" w:hAnsi="Arial" w:cs="Arial"/>
          <w:i w:val="0"/>
          <w:snapToGrid w:val="0"/>
          <w:sz w:val="22"/>
          <w:szCs w:val="22"/>
          <w:lang w:val="en-CA"/>
        </w:rPr>
        <w:t>explanation for the previous failure to find the mechanism by which corticosteroids improve survival from TBM in Vietnamese adults. They also have important implications for the current pilot study and we will investigate the influence of LTA4H genotype on aspirin</w:t>
      </w:r>
      <w:r w:rsidR="0084625B">
        <w:rPr>
          <w:rFonts w:ascii="Arial" w:hAnsi="Arial" w:cs="Arial"/>
          <w:i w:val="0"/>
          <w:snapToGrid w:val="0"/>
          <w:sz w:val="22"/>
          <w:szCs w:val="22"/>
          <w:lang w:val="en-CA"/>
        </w:rPr>
        <w:t>’</w:t>
      </w:r>
      <w:r w:rsidRPr="00A73C45">
        <w:rPr>
          <w:rFonts w:ascii="Arial" w:hAnsi="Arial" w:cs="Arial"/>
          <w:i w:val="0"/>
          <w:snapToGrid w:val="0"/>
          <w:sz w:val="22"/>
          <w:szCs w:val="22"/>
          <w:lang w:val="en-CA"/>
        </w:rPr>
        <w:t>s effect on CSF inflammation and clinical outcome.</w:t>
      </w:r>
    </w:p>
    <w:p w:rsidR="0036319C" w:rsidRPr="00A73C45" w:rsidRDefault="0036319C" w:rsidP="001049BE">
      <w:pPr>
        <w:pStyle w:val="BodyText2"/>
        <w:spacing w:line="360" w:lineRule="auto"/>
        <w:rPr>
          <w:rFonts w:ascii="Arial" w:hAnsi="Arial" w:cs="Arial"/>
          <w:i w:val="0"/>
          <w:snapToGrid w:val="0"/>
          <w:sz w:val="22"/>
          <w:szCs w:val="22"/>
          <w:lang w:val="en-CA"/>
        </w:rPr>
      </w:pPr>
    </w:p>
    <w:p w:rsidR="00443409" w:rsidRPr="00A73C45" w:rsidRDefault="001049BE" w:rsidP="001049BE">
      <w:pPr>
        <w:pStyle w:val="BodyText2"/>
        <w:spacing w:line="360" w:lineRule="auto"/>
        <w:rPr>
          <w:rFonts w:ascii="Arial" w:hAnsi="Arial" w:cs="Arial"/>
          <w:b/>
          <w:snapToGrid w:val="0"/>
          <w:sz w:val="22"/>
          <w:szCs w:val="22"/>
          <w:lang w:val="en-CA"/>
        </w:rPr>
      </w:pPr>
      <w:r w:rsidRPr="00A73C45">
        <w:rPr>
          <w:rFonts w:ascii="Arial" w:hAnsi="Arial" w:cs="Arial"/>
          <w:b/>
          <w:snapToGrid w:val="0"/>
          <w:sz w:val="22"/>
          <w:szCs w:val="22"/>
          <w:lang w:val="en-CA"/>
        </w:rPr>
        <w:t>Macrophage antimicrobial activity and outcome from TBM</w:t>
      </w:r>
    </w:p>
    <w:p w:rsidR="001049BE" w:rsidRPr="00A73C45" w:rsidRDefault="001049BE" w:rsidP="00C1767C">
      <w:pPr>
        <w:pStyle w:val="CommentText"/>
        <w:spacing w:line="360" w:lineRule="auto"/>
        <w:rPr>
          <w:rFonts w:cs="Arial"/>
          <w:szCs w:val="22"/>
          <w:lang w:val="en-CA"/>
        </w:rPr>
      </w:pPr>
      <w:r w:rsidRPr="00A73C45">
        <w:rPr>
          <w:rFonts w:cs="Arial"/>
          <w:szCs w:val="22"/>
          <w:lang w:val="en-CA"/>
        </w:rPr>
        <w:lastRenderedPageBreak/>
        <w:t xml:space="preserve">We and others have shown that </w:t>
      </w:r>
      <w:r w:rsidR="00C1767C" w:rsidRPr="00A73C45">
        <w:rPr>
          <w:rFonts w:cs="Arial"/>
          <w:szCs w:val="22"/>
          <w:lang w:val="en-CA"/>
        </w:rPr>
        <w:t>polymorphisms in genes responsible for the</w:t>
      </w:r>
      <w:r w:rsidRPr="00A73C45">
        <w:rPr>
          <w:rFonts w:cs="Arial"/>
          <w:szCs w:val="22"/>
          <w:lang w:val="en-CA"/>
        </w:rPr>
        <w:t xml:space="preserve"> innate immune response to </w:t>
      </w:r>
      <w:r w:rsidRPr="00A73C45">
        <w:rPr>
          <w:rFonts w:cs="Arial"/>
          <w:i/>
          <w:szCs w:val="22"/>
          <w:lang w:val="en-CA"/>
        </w:rPr>
        <w:t>Mycobacterium tuberculosis</w:t>
      </w:r>
      <w:r w:rsidRPr="00A73C45">
        <w:rPr>
          <w:rFonts w:cs="Arial"/>
          <w:szCs w:val="22"/>
          <w:lang w:val="en-CA"/>
        </w:rPr>
        <w:t xml:space="preserve"> influence both susceptibility to TBM and disease severity </w:t>
      </w:r>
      <w:r w:rsidRPr="00A73C45">
        <w:rPr>
          <w:rFonts w:cs="Arial"/>
          <w:szCs w:val="22"/>
          <w:vertAlign w:val="superscript"/>
          <w:lang w:val="en-CA"/>
        </w:rPr>
        <w:t>20,</w:t>
      </w:r>
      <w:r w:rsidR="00EB3340">
        <w:rPr>
          <w:rFonts w:cs="Arial"/>
          <w:szCs w:val="22"/>
          <w:vertAlign w:val="superscript"/>
          <w:lang w:val="en-CA"/>
        </w:rPr>
        <w:t xml:space="preserve"> </w:t>
      </w:r>
      <w:r w:rsidRPr="00A73C45">
        <w:rPr>
          <w:rFonts w:cs="Arial"/>
          <w:szCs w:val="22"/>
          <w:vertAlign w:val="superscript"/>
          <w:lang w:val="en-CA"/>
        </w:rPr>
        <w:t>21</w:t>
      </w:r>
      <w:r w:rsidRPr="00A73C45">
        <w:rPr>
          <w:rFonts w:cs="Arial"/>
          <w:szCs w:val="22"/>
          <w:lang w:val="en-CA"/>
        </w:rPr>
        <w:t xml:space="preserve">. </w:t>
      </w:r>
      <w:r w:rsidR="00C1767C" w:rsidRPr="00A73C45">
        <w:rPr>
          <w:rFonts w:cs="Arial"/>
          <w:szCs w:val="22"/>
          <w:lang w:val="en-CA"/>
        </w:rPr>
        <w:t xml:space="preserve">Macrophages are the key effector cells in the innate immune response to </w:t>
      </w:r>
      <w:r w:rsidR="00C1767C" w:rsidRPr="00A73C45">
        <w:rPr>
          <w:rFonts w:cs="Arial"/>
          <w:i/>
          <w:szCs w:val="22"/>
          <w:lang w:val="en-CA"/>
        </w:rPr>
        <w:t>M. tuberculosis</w:t>
      </w:r>
      <w:r w:rsidR="00C1767C" w:rsidRPr="00A73C45">
        <w:rPr>
          <w:rFonts w:cs="Arial"/>
          <w:szCs w:val="22"/>
          <w:lang w:val="en-CA"/>
        </w:rPr>
        <w:t xml:space="preserve">, but how variations in their innate antimicrobial activity influence outcome from TBM have not been previously investigated. </w:t>
      </w:r>
      <w:r w:rsidRPr="00A73C45">
        <w:rPr>
          <w:rFonts w:cs="Arial"/>
          <w:szCs w:val="22"/>
          <w:lang w:val="en-CA"/>
        </w:rPr>
        <w:t>In this study we will apply a panel of functional assays to directly measure the rates of acquisition of a variety of lysosomal characteristics known to impact microbial survival</w:t>
      </w:r>
      <w:r w:rsidR="00394AA8" w:rsidRPr="00A73C45">
        <w:rPr>
          <w:rFonts w:cs="Arial"/>
          <w:szCs w:val="22"/>
          <w:lang w:val="en-CA"/>
        </w:rPr>
        <w:t xml:space="preserve"> </w:t>
      </w:r>
      <w:r w:rsidR="00C1767C" w:rsidRPr="00A73C45">
        <w:rPr>
          <w:rFonts w:cs="Arial"/>
          <w:szCs w:val="22"/>
          <w:vertAlign w:val="superscript"/>
          <w:lang w:val="en-CA"/>
        </w:rPr>
        <w:t>22,</w:t>
      </w:r>
      <w:r w:rsidR="00EB3340">
        <w:rPr>
          <w:rFonts w:cs="Arial"/>
          <w:szCs w:val="22"/>
          <w:vertAlign w:val="superscript"/>
          <w:lang w:val="en-CA"/>
        </w:rPr>
        <w:t xml:space="preserve"> </w:t>
      </w:r>
      <w:r w:rsidR="00C1767C" w:rsidRPr="00A73C45">
        <w:rPr>
          <w:rFonts w:cs="Arial"/>
          <w:szCs w:val="22"/>
          <w:vertAlign w:val="superscript"/>
          <w:lang w:val="en-CA"/>
        </w:rPr>
        <w:t>23</w:t>
      </w:r>
      <w:r w:rsidRPr="00A73C45">
        <w:rPr>
          <w:rFonts w:cs="Arial"/>
          <w:szCs w:val="22"/>
          <w:lang w:val="en-CA"/>
        </w:rPr>
        <w:t xml:space="preserve">. </w:t>
      </w:r>
      <w:r w:rsidR="00394AA8" w:rsidRPr="00A73C45">
        <w:rPr>
          <w:rFonts w:cs="Arial"/>
          <w:szCs w:val="22"/>
          <w:lang w:val="en-CA"/>
        </w:rPr>
        <w:t>We will investigate whether these characteristics change through treatment and how they relate to the patient’s outcome.</w:t>
      </w:r>
    </w:p>
    <w:p w:rsidR="001049BE" w:rsidRPr="00A73C45" w:rsidRDefault="001049BE" w:rsidP="001049BE">
      <w:pPr>
        <w:pStyle w:val="BodyText2"/>
        <w:spacing w:line="360" w:lineRule="auto"/>
        <w:rPr>
          <w:rFonts w:ascii="Arial" w:hAnsi="Arial" w:cs="Arial"/>
          <w:i w:val="0"/>
          <w:snapToGrid w:val="0"/>
          <w:sz w:val="22"/>
          <w:szCs w:val="22"/>
          <w:lang w:val="en-CA"/>
        </w:rPr>
      </w:pPr>
    </w:p>
    <w:p w:rsidR="00443409" w:rsidRPr="00A73C45" w:rsidRDefault="00443409" w:rsidP="001049BE">
      <w:pPr>
        <w:pStyle w:val="BodyText2"/>
        <w:spacing w:line="360" w:lineRule="auto"/>
        <w:rPr>
          <w:rFonts w:ascii="Arial" w:hAnsi="Arial" w:cs="Arial"/>
          <w:b/>
          <w:snapToGrid w:val="0"/>
          <w:sz w:val="22"/>
          <w:szCs w:val="22"/>
          <w:lang w:val="en-CA"/>
        </w:rPr>
      </w:pPr>
      <w:r w:rsidRPr="00A73C45">
        <w:rPr>
          <w:rFonts w:ascii="Arial" w:hAnsi="Arial" w:cs="Arial"/>
          <w:b/>
          <w:snapToGrid w:val="0"/>
          <w:sz w:val="22"/>
          <w:szCs w:val="22"/>
          <w:lang w:val="en-CA"/>
        </w:rPr>
        <w:t>Why do we need this pilot study?</w:t>
      </w:r>
    </w:p>
    <w:p w:rsidR="00443409" w:rsidRPr="00A73C45" w:rsidRDefault="00443409" w:rsidP="001049BE">
      <w:pPr>
        <w:rPr>
          <w:rFonts w:cs="Arial"/>
          <w:lang w:val="en-CA"/>
        </w:rPr>
      </w:pPr>
      <w:r w:rsidRPr="00A73C45">
        <w:rPr>
          <w:rFonts w:cs="Arial"/>
          <w:lang w:val="en-CA"/>
        </w:rPr>
        <w:t>There are several outstanding questions that need to be addressed by a pilot study before embarking on a large</w:t>
      </w:r>
      <w:r w:rsidR="00A67464" w:rsidRPr="00A73C45">
        <w:rPr>
          <w:rFonts w:cs="Arial"/>
          <w:lang w:val="en-CA"/>
        </w:rPr>
        <w:t>, defin</w:t>
      </w:r>
      <w:r w:rsidR="004D1F67" w:rsidRPr="00A73C45">
        <w:rPr>
          <w:rFonts w:cs="Arial"/>
          <w:lang w:val="en-CA"/>
        </w:rPr>
        <w:t>i</w:t>
      </w:r>
      <w:r w:rsidR="00A67464" w:rsidRPr="00A73C45">
        <w:rPr>
          <w:rFonts w:cs="Arial"/>
          <w:lang w:val="en-CA"/>
        </w:rPr>
        <w:t>tive,</w:t>
      </w:r>
      <w:r w:rsidRPr="00A73C45">
        <w:rPr>
          <w:rFonts w:cs="Arial"/>
          <w:lang w:val="en-CA"/>
        </w:rPr>
        <w:t xml:space="preserve"> randomised controlled trial of adjunctive aspirin for TBM. These are:</w:t>
      </w:r>
    </w:p>
    <w:p w:rsidR="00443409" w:rsidRPr="00A73C45" w:rsidRDefault="00443409" w:rsidP="001049BE">
      <w:pPr>
        <w:pStyle w:val="ColorfulList-Accent11"/>
        <w:numPr>
          <w:ilvl w:val="0"/>
          <w:numId w:val="8"/>
        </w:numPr>
        <w:spacing w:line="360" w:lineRule="auto"/>
        <w:rPr>
          <w:rFonts w:ascii="Arial" w:hAnsi="Arial" w:cs="Arial"/>
          <w:lang w:val="en-CA"/>
        </w:rPr>
      </w:pPr>
      <w:r w:rsidRPr="00A73C45">
        <w:rPr>
          <w:rFonts w:ascii="Arial" w:hAnsi="Arial" w:cs="Arial"/>
          <w:lang w:val="en-CA"/>
        </w:rPr>
        <w:t xml:space="preserve">What is the safety and tolerability of </w:t>
      </w:r>
      <w:r w:rsidR="00D0726E" w:rsidRPr="00A73C45">
        <w:rPr>
          <w:rFonts w:ascii="Arial" w:hAnsi="Arial" w:cs="Arial"/>
          <w:lang w:val="en-CA"/>
        </w:rPr>
        <w:t>81</w:t>
      </w:r>
      <w:r w:rsidRPr="00A73C45">
        <w:rPr>
          <w:rFonts w:ascii="Arial" w:hAnsi="Arial" w:cs="Arial"/>
          <w:lang w:val="en-CA"/>
        </w:rPr>
        <w:t>mg and 1</w:t>
      </w:r>
      <w:r w:rsidR="0032751C" w:rsidRPr="00A73C45">
        <w:rPr>
          <w:rFonts w:ascii="Arial" w:hAnsi="Arial" w:cs="Arial"/>
          <w:lang w:val="en-CA"/>
        </w:rPr>
        <w:t>000m</w:t>
      </w:r>
      <w:r w:rsidRPr="00A73C45">
        <w:rPr>
          <w:rFonts w:ascii="Arial" w:hAnsi="Arial" w:cs="Arial"/>
          <w:lang w:val="en-CA"/>
        </w:rPr>
        <w:t>g</w:t>
      </w:r>
      <w:r w:rsidR="00871246">
        <w:rPr>
          <w:rFonts w:ascii="Arial" w:hAnsi="Arial" w:cs="Arial"/>
          <w:lang w:val="en-CA"/>
        </w:rPr>
        <w:t xml:space="preserve"> </w:t>
      </w:r>
      <w:r w:rsidRPr="00A73C45">
        <w:rPr>
          <w:rFonts w:ascii="Arial" w:hAnsi="Arial" w:cs="Arial"/>
          <w:lang w:val="en-CA"/>
        </w:rPr>
        <w:t>dose aspirin when added to dexamethasone for the first 60 days of treatment of TBM?</w:t>
      </w:r>
    </w:p>
    <w:p w:rsidR="00443409" w:rsidRPr="00A73C45" w:rsidRDefault="00455273" w:rsidP="001049BE">
      <w:pPr>
        <w:pStyle w:val="ColorfulList-Accent11"/>
        <w:numPr>
          <w:ilvl w:val="0"/>
          <w:numId w:val="8"/>
        </w:numPr>
        <w:spacing w:line="360" w:lineRule="auto"/>
        <w:rPr>
          <w:rFonts w:ascii="Arial" w:hAnsi="Arial" w:cs="Arial"/>
          <w:lang w:val="en-CA"/>
        </w:rPr>
      </w:pPr>
      <w:r w:rsidRPr="00A73C45">
        <w:rPr>
          <w:rFonts w:ascii="Arial" w:hAnsi="Arial" w:cs="Arial"/>
          <w:lang w:val="en-CA"/>
        </w:rPr>
        <w:t xml:space="preserve">Does aspirin at </w:t>
      </w:r>
      <w:r w:rsidR="00871246">
        <w:rPr>
          <w:rFonts w:ascii="Arial" w:hAnsi="Arial" w:cs="Arial"/>
          <w:lang w:val="en-CA"/>
        </w:rPr>
        <w:t>these</w:t>
      </w:r>
      <w:r w:rsidRPr="00A73C45">
        <w:rPr>
          <w:rFonts w:ascii="Arial" w:hAnsi="Arial" w:cs="Arial"/>
          <w:lang w:val="en-CA"/>
        </w:rPr>
        <w:t xml:space="preserve"> dose</w:t>
      </w:r>
      <w:r w:rsidR="00871246">
        <w:rPr>
          <w:rFonts w:ascii="Arial" w:hAnsi="Arial" w:cs="Arial"/>
          <w:lang w:val="en-CA"/>
        </w:rPr>
        <w:t>s</w:t>
      </w:r>
      <w:r w:rsidRPr="00A73C45">
        <w:rPr>
          <w:rFonts w:ascii="Arial" w:hAnsi="Arial" w:cs="Arial"/>
          <w:lang w:val="en-CA"/>
        </w:rPr>
        <w:t xml:space="preserve"> reduce </w:t>
      </w:r>
      <w:r w:rsidR="00443409" w:rsidRPr="00A73C45">
        <w:rPr>
          <w:rFonts w:ascii="Arial" w:hAnsi="Arial" w:cs="Arial"/>
          <w:lang w:val="en-CA"/>
        </w:rPr>
        <w:t>MRI-proven infarction and neurological sequelae or death?</w:t>
      </w:r>
    </w:p>
    <w:p w:rsidR="00443409" w:rsidRPr="00A73C45" w:rsidRDefault="00443409" w:rsidP="002A161D">
      <w:pPr>
        <w:pStyle w:val="ColorfulList-Accent11"/>
        <w:numPr>
          <w:ilvl w:val="0"/>
          <w:numId w:val="8"/>
        </w:numPr>
        <w:spacing w:line="360" w:lineRule="auto"/>
        <w:rPr>
          <w:rFonts w:ascii="Arial" w:hAnsi="Arial" w:cs="Arial"/>
          <w:lang w:val="en-CA"/>
        </w:rPr>
      </w:pPr>
      <w:r w:rsidRPr="00A73C45">
        <w:rPr>
          <w:rFonts w:ascii="Arial" w:hAnsi="Arial" w:cs="Arial"/>
          <w:lang w:val="en-CA"/>
        </w:rPr>
        <w:t xml:space="preserve">Does </w:t>
      </w:r>
      <w:r w:rsidR="00871246">
        <w:rPr>
          <w:rFonts w:ascii="Arial" w:hAnsi="Arial" w:cs="Arial"/>
          <w:lang w:val="en-CA"/>
        </w:rPr>
        <w:t>81 mg</w:t>
      </w:r>
      <w:r w:rsidRPr="00A73C45">
        <w:rPr>
          <w:rFonts w:ascii="Arial" w:hAnsi="Arial" w:cs="Arial"/>
          <w:lang w:val="en-CA"/>
        </w:rPr>
        <w:t xml:space="preserve"> aspirin </w:t>
      </w:r>
      <w:r w:rsidR="00871246">
        <w:rPr>
          <w:rFonts w:ascii="Arial" w:hAnsi="Arial" w:cs="Arial"/>
          <w:lang w:val="en-CA"/>
        </w:rPr>
        <w:t xml:space="preserve">daily </w:t>
      </w:r>
      <w:r w:rsidRPr="00A73C45">
        <w:rPr>
          <w:rFonts w:ascii="Arial" w:hAnsi="Arial" w:cs="Arial"/>
          <w:lang w:val="en-CA"/>
        </w:rPr>
        <w:t xml:space="preserve">have the same anti-inflammatory effect as </w:t>
      </w:r>
      <w:r w:rsidR="00871246">
        <w:rPr>
          <w:rFonts w:ascii="Arial" w:hAnsi="Arial" w:cs="Arial"/>
          <w:lang w:val="en-CA"/>
        </w:rPr>
        <w:t>1000 mg</w:t>
      </w:r>
      <w:r w:rsidRPr="00A73C45">
        <w:rPr>
          <w:rFonts w:ascii="Arial" w:hAnsi="Arial" w:cs="Arial"/>
          <w:lang w:val="en-CA"/>
        </w:rPr>
        <w:t xml:space="preserve"> aspirin</w:t>
      </w:r>
      <w:r w:rsidR="00871246">
        <w:rPr>
          <w:rFonts w:ascii="Arial" w:hAnsi="Arial" w:cs="Arial"/>
          <w:lang w:val="en-CA"/>
        </w:rPr>
        <w:t xml:space="preserve"> daily</w:t>
      </w:r>
      <w:r w:rsidRPr="00A73C45">
        <w:rPr>
          <w:rFonts w:ascii="Arial" w:hAnsi="Arial" w:cs="Arial"/>
          <w:lang w:val="en-CA"/>
        </w:rPr>
        <w:t xml:space="preserve"> (assessed by measur</w:t>
      </w:r>
      <w:r w:rsidR="0090706D">
        <w:rPr>
          <w:rFonts w:ascii="Arial" w:hAnsi="Arial" w:cs="Arial"/>
          <w:lang w:val="en-CA"/>
        </w:rPr>
        <w:t>e</w:t>
      </w:r>
      <w:r w:rsidRPr="00A73C45">
        <w:rPr>
          <w:rFonts w:ascii="Arial" w:hAnsi="Arial" w:cs="Arial"/>
          <w:lang w:val="en-CA"/>
        </w:rPr>
        <w:t>ment of CSF prostaglandins) and which dose is likely to be most effective?</w:t>
      </w:r>
    </w:p>
    <w:p w:rsidR="00443409" w:rsidRPr="00A73C45" w:rsidRDefault="00443409" w:rsidP="002A161D">
      <w:pPr>
        <w:pStyle w:val="ColorfulList-Accent11"/>
        <w:numPr>
          <w:ilvl w:val="0"/>
          <w:numId w:val="8"/>
        </w:numPr>
        <w:spacing w:line="360" w:lineRule="auto"/>
        <w:jc w:val="both"/>
        <w:rPr>
          <w:rFonts w:ascii="Arial" w:hAnsi="Arial" w:cs="Arial"/>
          <w:lang w:val="en-CA"/>
        </w:rPr>
      </w:pPr>
      <w:r w:rsidRPr="00A73C45">
        <w:rPr>
          <w:rFonts w:ascii="Arial" w:hAnsi="Arial" w:cs="Arial"/>
          <w:lang w:val="en-CA"/>
        </w:rPr>
        <w:t xml:space="preserve">How does </w:t>
      </w:r>
      <w:r w:rsidR="00394AA8" w:rsidRPr="00A73C45">
        <w:rPr>
          <w:rFonts w:ascii="Arial" w:hAnsi="Arial" w:cs="Arial"/>
          <w:lang w:val="en-CA"/>
        </w:rPr>
        <w:t xml:space="preserve">host genotype (in particular, </w:t>
      </w:r>
      <w:r w:rsidRPr="00A73C45">
        <w:rPr>
          <w:rFonts w:ascii="Arial" w:hAnsi="Arial" w:cs="Arial"/>
          <w:lang w:val="en-CA"/>
        </w:rPr>
        <w:t>LTA4H genotype</w:t>
      </w:r>
      <w:r w:rsidR="00394AA8" w:rsidRPr="00A73C45">
        <w:rPr>
          <w:rFonts w:ascii="Arial" w:hAnsi="Arial" w:cs="Arial"/>
          <w:lang w:val="en-CA"/>
        </w:rPr>
        <w:t>)</w:t>
      </w:r>
      <w:r w:rsidRPr="00A73C45">
        <w:rPr>
          <w:rFonts w:ascii="Arial" w:hAnsi="Arial" w:cs="Arial"/>
          <w:lang w:val="en-CA"/>
        </w:rPr>
        <w:t xml:space="preserve"> influence the anti-inflammatory, anti-thrombotic, and clinical effects of aspirin?</w:t>
      </w:r>
    </w:p>
    <w:p w:rsidR="00F84AE3" w:rsidRPr="00A73C45" w:rsidRDefault="00F84AE3">
      <w:pPr>
        <w:pStyle w:val="Heading1"/>
        <w:rPr>
          <w:lang w:val="en-CA"/>
        </w:rPr>
      </w:pPr>
      <w:bookmarkStart w:id="19" w:name="_Toc387306474"/>
      <w:r w:rsidRPr="00A73C45">
        <w:rPr>
          <w:lang w:val="en-CA"/>
        </w:rPr>
        <w:t>OBJECTIVES</w:t>
      </w:r>
      <w:bookmarkEnd w:id="9"/>
      <w:bookmarkEnd w:id="10"/>
      <w:bookmarkEnd w:id="11"/>
      <w:bookmarkEnd w:id="12"/>
      <w:bookmarkEnd w:id="13"/>
      <w:bookmarkEnd w:id="14"/>
      <w:bookmarkEnd w:id="15"/>
      <w:bookmarkEnd w:id="16"/>
      <w:bookmarkEnd w:id="17"/>
      <w:bookmarkEnd w:id="19"/>
    </w:p>
    <w:p w:rsidR="00F84AE3" w:rsidRPr="00A73C45" w:rsidRDefault="00F84AE3" w:rsidP="003A4A48">
      <w:pPr>
        <w:pStyle w:val="Heading2"/>
        <w:rPr>
          <w:lang w:val="en-CA"/>
        </w:rPr>
      </w:pPr>
      <w:bookmarkStart w:id="20" w:name="_Toc386848218"/>
      <w:bookmarkStart w:id="21" w:name="_Toc386848279"/>
      <w:bookmarkStart w:id="22" w:name="_Toc386848340"/>
      <w:bookmarkStart w:id="23" w:name="_Toc386848401"/>
      <w:bookmarkStart w:id="24" w:name="_Toc386849331"/>
      <w:bookmarkStart w:id="25" w:name="_Toc386862499"/>
      <w:bookmarkStart w:id="26" w:name="_Toc493663531"/>
      <w:bookmarkStart w:id="27" w:name="_Toc531145807"/>
      <w:bookmarkStart w:id="28" w:name="_Toc387306475"/>
      <w:r w:rsidRPr="00A73C45">
        <w:rPr>
          <w:lang w:val="en-CA"/>
        </w:rPr>
        <w:t>Primary</w:t>
      </w:r>
      <w:bookmarkEnd w:id="20"/>
      <w:bookmarkEnd w:id="21"/>
      <w:bookmarkEnd w:id="22"/>
      <w:bookmarkEnd w:id="23"/>
      <w:bookmarkEnd w:id="24"/>
      <w:bookmarkEnd w:id="25"/>
      <w:bookmarkEnd w:id="26"/>
      <w:bookmarkEnd w:id="27"/>
      <w:r w:rsidRPr="00A73C45">
        <w:rPr>
          <w:lang w:val="en-CA"/>
        </w:rPr>
        <w:t xml:space="preserve"> Objective</w:t>
      </w:r>
      <w:bookmarkEnd w:id="28"/>
    </w:p>
    <w:p w:rsidR="00E70C34" w:rsidRPr="00A73C45" w:rsidRDefault="00DE0BD6" w:rsidP="00F46C98">
      <w:pPr>
        <w:pStyle w:val="NormalIndent"/>
        <w:ind w:left="0"/>
        <w:rPr>
          <w:lang w:val="en-CA"/>
        </w:rPr>
      </w:pPr>
      <w:bookmarkStart w:id="29" w:name="_Toc386848219"/>
      <w:bookmarkStart w:id="30" w:name="_Toc386848280"/>
      <w:bookmarkStart w:id="31" w:name="_Toc386848341"/>
      <w:bookmarkStart w:id="32" w:name="_Toc386848402"/>
      <w:bookmarkStart w:id="33" w:name="_Toc386849332"/>
      <w:bookmarkStart w:id="34" w:name="_Toc386862500"/>
      <w:bookmarkStart w:id="35" w:name="_Toc493663532"/>
      <w:bookmarkStart w:id="36" w:name="_Toc531145808"/>
      <w:r w:rsidRPr="00A73C45">
        <w:rPr>
          <w:lang w:val="en-CA"/>
        </w:rPr>
        <w:t>To generate pilot data on the safety and efficacy of 81mg</w:t>
      </w:r>
      <w:r w:rsidR="00AE026A">
        <w:rPr>
          <w:lang w:val="en-CA"/>
        </w:rPr>
        <w:t xml:space="preserve"> daily</w:t>
      </w:r>
      <w:r w:rsidRPr="00A73C45">
        <w:rPr>
          <w:lang w:val="en-CA"/>
        </w:rPr>
        <w:t xml:space="preserve"> and 1000mg</w:t>
      </w:r>
      <w:r w:rsidR="00AE026A">
        <w:rPr>
          <w:lang w:val="en-CA"/>
        </w:rPr>
        <w:t xml:space="preserve"> </w:t>
      </w:r>
      <w:r w:rsidR="00871246">
        <w:rPr>
          <w:lang w:val="en-CA"/>
        </w:rPr>
        <w:t>daily</w:t>
      </w:r>
      <w:r w:rsidRPr="00A73C45">
        <w:rPr>
          <w:lang w:val="en-CA"/>
        </w:rPr>
        <w:t xml:space="preserve"> dose adjunctive aspirin compared to no aspirin. </w:t>
      </w:r>
    </w:p>
    <w:p w:rsidR="00F84AE3" w:rsidRPr="00A73C45" w:rsidRDefault="00F84AE3" w:rsidP="003A4A48">
      <w:pPr>
        <w:pStyle w:val="Heading2"/>
        <w:rPr>
          <w:lang w:val="en-CA"/>
        </w:rPr>
      </w:pPr>
      <w:bookmarkStart w:id="37" w:name="_Toc387306476"/>
      <w:r w:rsidRPr="00A73C45">
        <w:rPr>
          <w:lang w:val="en-CA"/>
        </w:rPr>
        <w:t>Secondary</w:t>
      </w:r>
      <w:bookmarkEnd w:id="29"/>
      <w:bookmarkEnd w:id="30"/>
      <w:bookmarkEnd w:id="31"/>
      <w:bookmarkEnd w:id="32"/>
      <w:bookmarkEnd w:id="33"/>
      <w:bookmarkEnd w:id="34"/>
      <w:bookmarkEnd w:id="35"/>
      <w:bookmarkEnd w:id="36"/>
      <w:r w:rsidRPr="00A73C45">
        <w:rPr>
          <w:lang w:val="en-CA"/>
        </w:rPr>
        <w:t xml:space="preserve"> Objectives</w:t>
      </w:r>
      <w:bookmarkEnd w:id="37"/>
    </w:p>
    <w:p w:rsidR="001E416A" w:rsidRPr="00A73C45" w:rsidRDefault="001E416A" w:rsidP="00F46C98">
      <w:pPr>
        <w:pStyle w:val="NormalIndent"/>
        <w:ind w:left="0"/>
        <w:rPr>
          <w:lang w:val="en-CA"/>
        </w:rPr>
      </w:pPr>
      <w:r w:rsidRPr="00A73C45">
        <w:rPr>
          <w:lang w:val="en-CA"/>
        </w:rPr>
        <w:t xml:space="preserve">To determine whether host </w:t>
      </w:r>
      <w:r w:rsidR="00394AA8" w:rsidRPr="00A73C45">
        <w:rPr>
          <w:lang w:val="en-CA"/>
        </w:rPr>
        <w:t xml:space="preserve">genotype, including </w:t>
      </w:r>
      <w:r w:rsidRPr="00A73C45">
        <w:rPr>
          <w:lang w:val="en-CA"/>
        </w:rPr>
        <w:t>LTA4H genotype</w:t>
      </w:r>
      <w:r w:rsidR="00394AA8" w:rsidRPr="00A73C45">
        <w:rPr>
          <w:lang w:val="en-CA"/>
        </w:rPr>
        <w:t>,</w:t>
      </w:r>
      <w:r w:rsidRPr="00A73C45">
        <w:rPr>
          <w:lang w:val="en-CA"/>
        </w:rPr>
        <w:t xml:space="preserve"> influences any of the above </w:t>
      </w:r>
      <w:r w:rsidR="00394AA8" w:rsidRPr="00A73C45">
        <w:rPr>
          <w:lang w:val="en-CA"/>
        </w:rPr>
        <w:t xml:space="preserve">therapeutic </w:t>
      </w:r>
      <w:r w:rsidRPr="00A73C45">
        <w:rPr>
          <w:lang w:val="en-CA"/>
        </w:rPr>
        <w:t>effects</w:t>
      </w:r>
      <w:r w:rsidR="00394AA8" w:rsidRPr="00A73C45">
        <w:rPr>
          <w:lang w:val="en-CA"/>
        </w:rPr>
        <w:t xml:space="preserve"> of aspirin</w:t>
      </w:r>
    </w:p>
    <w:p w:rsidR="00394AA8" w:rsidRDefault="00394AA8" w:rsidP="00F46C98">
      <w:pPr>
        <w:pStyle w:val="NormalIndent"/>
        <w:ind w:left="0"/>
        <w:rPr>
          <w:lang w:val="en-CA"/>
        </w:rPr>
      </w:pPr>
      <w:r w:rsidRPr="00A73C45">
        <w:rPr>
          <w:lang w:val="en-CA"/>
        </w:rPr>
        <w:t xml:space="preserve">To determine whether innate host </w:t>
      </w:r>
      <w:r w:rsidR="00024405" w:rsidRPr="00A73C45">
        <w:rPr>
          <w:lang w:val="en-CA"/>
        </w:rPr>
        <w:t>peripheral blood monocyte/</w:t>
      </w:r>
      <w:r w:rsidRPr="00A73C45">
        <w:rPr>
          <w:lang w:val="en-CA"/>
        </w:rPr>
        <w:t>macrophage antimicrobial activity influences outcome</w:t>
      </w:r>
      <w:r w:rsidR="00024405" w:rsidRPr="00A73C45">
        <w:rPr>
          <w:lang w:val="en-CA"/>
        </w:rPr>
        <w:t xml:space="preserve"> from TBM and varies through treatment</w:t>
      </w:r>
    </w:p>
    <w:p w:rsidR="003113A3" w:rsidRPr="00A73C45" w:rsidRDefault="003113A3" w:rsidP="00F46C98">
      <w:pPr>
        <w:pStyle w:val="NormalIndent"/>
        <w:ind w:left="0"/>
        <w:rPr>
          <w:lang w:val="en-CA"/>
        </w:rPr>
      </w:pPr>
      <w:r>
        <w:rPr>
          <w:lang w:val="en-CA"/>
        </w:rPr>
        <w:t xml:space="preserve">To assess the </w:t>
      </w:r>
      <w:r w:rsidR="001107F2">
        <w:rPr>
          <w:lang w:val="en-CA"/>
        </w:rPr>
        <w:t xml:space="preserve">plasma </w:t>
      </w:r>
      <w:r>
        <w:rPr>
          <w:lang w:val="en-CA"/>
        </w:rPr>
        <w:t>pharmacokinetic</w:t>
      </w:r>
      <w:r w:rsidR="001107F2">
        <w:rPr>
          <w:lang w:val="en-CA"/>
        </w:rPr>
        <w:t>s</w:t>
      </w:r>
      <w:r>
        <w:rPr>
          <w:lang w:val="en-CA"/>
        </w:rPr>
        <w:t xml:space="preserve">  of aspirin</w:t>
      </w:r>
    </w:p>
    <w:p w:rsidR="00F84AE3" w:rsidRDefault="00F84AE3">
      <w:pPr>
        <w:pStyle w:val="Heading1"/>
        <w:rPr>
          <w:lang w:val="en-CA"/>
        </w:rPr>
      </w:pPr>
      <w:bookmarkStart w:id="38" w:name="_Toc387306477"/>
      <w:r w:rsidRPr="00A73C45">
        <w:rPr>
          <w:lang w:val="en-CA"/>
        </w:rPr>
        <w:t>TRIAL DESIGN</w:t>
      </w:r>
      <w:bookmarkEnd w:id="38"/>
    </w:p>
    <w:p w:rsidR="0085446D" w:rsidRDefault="00646777" w:rsidP="00116035">
      <w:r w:rsidRPr="007149FE">
        <w:rPr>
          <w:lang w:val="en-CA"/>
        </w:rPr>
        <w:t>.</w:t>
      </w:r>
      <w:r w:rsidR="0085446D" w:rsidRPr="00A73C45">
        <w:rPr>
          <w:lang w:val="en-CA"/>
        </w:rPr>
        <w:t xml:space="preserve">  </w:t>
      </w:r>
    </w:p>
    <w:p w:rsidR="00116035" w:rsidRPr="00116035" w:rsidRDefault="00116035" w:rsidP="00116035">
      <w:r>
        <w:t xml:space="preserve"> </w:t>
      </w:r>
    </w:p>
    <w:p w:rsidR="00F84AE3" w:rsidRPr="00A73C45" w:rsidRDefault="00F84AE3" w:rsidP="003A4A48">
      <w:pPr>
        <w:pStyle w:val="Heading2"/>
        <w:rPr>
          <w:lang w:val="en-CA"/>
        </w:rPr>
      </w:pPr>
      <w:bookmarkStart w:id="39" w:name="_Toc387306478"/>
      <w:r w:rsidRPr="00A73C45">
        <w:rPr>
          <w:lang w:val="en-CA"/>
        </w:rPr>
        <w:lastRenderedPageBreak/>
        <w:t>Summary of Trial Design</w:t>
      </w:r>
      <w:bookmarkEnd w:id="39"/>
    </w:p>
    <w:p w:rsidR="001E416A" w:rsidRPr="00A73C45" w:rsidRDefault="001E416A" w:rsidP="00F46C98">
      <w:pPr>
        <w:pStyle w:val="NormalIndent"/>
        <w:ind w:left="0"/>
        <w:rPr>
          <w:lang w:val="en-CA"/>
        </w:rPr>
      </w:pPr>
      <w:r w:rsidRPr="00A73C45">
        <w:rPr>
          <w:lang w:val="en-CA"/>
        </w:rPr>
        <w:t>The study is a</w:t>
      </w:r>
      <w:r w:rsidR="00807373" w:rsidRPr="00A73C45">
        <w:rPr>
          <w:lang w:val="en-CA"/>
        </w:rPr>
        <w:t xml:space="preserve"> parallel group, </w:t>
      </w:r>
      <w:r w:rsidR="00024405" w:rsidRPr="00A73C45">
        <w:rPr>
          <w:lang w:val="en-CA"/>
        </w:rPr>
        <w:t>double blind</w:t>
      </w:r>
      <w:r w:rsidR="00807373" w:rsidRPr="00A73C45">
        <w:rPr>
          <w:lang w:val="en-CA"/>
        </w:rPr>
        <w:t>, randomised</w:t>
      </w:r>
      <w:r w:rsidR="00024405" w:rsidRPr="00A73C45">
        <w:rPr>
          <w:lang w:val="en-CA"/>
        </w:rPr>
        <w:t>, placebo</w:t>
      </w:r>
      <w:r w:rsidR="00807373" w:rsidRPr="00A73C45">
        <w:rPr>
          <w:lang w:val="en-CA"/>
        </w:rPr>
        <w:t xml:space="preserve"> controlled trial of 60 days of </w:t>
      </w:r>
      <w:r w:rsidR="00024405" w:rsidRPr="00A73C45">
        <w:rPr>
          <w:lang w:val="en-CA"/>
        </w:rPr>
        <w:t>placebo</w:t>
      </w:r>
      <w:r w:rsidR="00DE0BD6" w:rsidRPr="00A73C45">
        <w:rPr>
          <w:lang w:val="en-CA"/>
        </w:rPr>
        <w:t xml:space="preserve"> vs. </w:t>
      </w:r>
      <w:r w:rsidR="00AE026A">
        <w:rPr>
          <w:lang w:val="en-CA"/>
        </w:rPr>
        <w:t>81mg</w:t>
      </w:r>
      <w:r w:rsidR="00807373" w:rsidRPr="00A73C45">
        <w:rPr>
          <w:lang w:val="en-CA"/>
        </w:rPr>
        <w:t xml:space="preserve"> </w:t>
      </w:r>
      <w:r w:rsidR="00AE026A">
        <w:rPr>
          <w:lang w:val="en-CA"/>
        </w:rPr>
        <w:t xml:space="preserve">daily </w:t>
      </w:r>
      <w:r w:rsidR="00DE0BD6" w:rsidRPr="00A73C45">
        <w:rPr>
          <w:lang w:val="en-CA"/>
        </w:rPr>
        <w:t xml:space="preserve">dose vs. </w:t>
      </w:r>
      <w:r w:rsidR="00AE026A">
        <w:rPr>
          <w:lang w:val="en-CA"/>
        </w:rPr>
        <w:t>1000mg daily</w:t>
      </w:r>
      <w:r w:rsidR="00807373" w:rsidRPr="00A73C45">
        <w:rPr>
          <w:lang w:val="en-CA"/>
        </w:rPr>
        <w:t xml:space="preserve"> dose aspirin for the treatment of HIV-uninfected adults with tuberculous meningitis</w:t>
      </w:r>
      <w:r w:rsidR="00CD304B" w:rsidRPr="00A73C45">
        <w:rPr>
          <w:lang w:val="en-CA"/>
        </w:rPr>
        <w:t xml:space="preserve"> (see trial schema</w:t>
      </w:r>
      <w:r w:rsidR="00A67464" w:rsidRPr="00A73C45">
        <w:rPr>
          <w:lang w:val="en-CA"/>
        </w:rPr>
        <w:t xml:space="preserve"> in appendix A</w:t>
      </w:r>
      <w:r w:rsidR="00CD304B" w:rsidRPr="00A73C45">
        <w:rPr>
          <w:lang w:val="en-CA"/>
        </w:rPr>
        <w:t>)</w:t>
      </w:r>
      <w:r w:rsidR="00807373" w:rsidRPr="00A73C45">
        <w:rPr>
          <w:lang w:val="en-CA"/>
        </w:rPr>
        <w:t xml:space="preserve">. Patients will be recruited </w:t>
      </w:r>
      <w:r w:rsidR="00797CCD" w:rsidRPr="00A73C45">
        <w:rPr>
          <w:lang w:val="en-CA"/>
        </w:rPr>
        <w:t>at</w:t>
      </w:r>
      <w:r w:rsidR="00807373" w:rsidRPr="00A73C45">
        <w:rPr>
          <w:lang w:val="en-CA"/>
        </w:rPr>
        <w:t xml:space="preserve"> the </w:t>
      </w:r>
      <w:r w:rsidR="00807373" w:rsidRPr="00A73C45">
        <w:rPr>
          <w:rFonts w:cs="Arial"/>
          <w:lang w:val="en-CA"/>
        </w:rPr>
        <w:t xml:space="preserve">Hospital for Tropical </w:t>
      </w:r>
      <w:r w:rsidR="0023350D" w:rsidRPr="00A73C45">
        <w:rPr>
          <w:rFonts w:cs="Arial"/>
          <w:lang w:val="en-CA"/>
        </w:rPr>
        <w:t>Diseases (HTD), Ho Ch</w:t>
      </w:r>
      <w:r w:rsidR="00AF0BAC" w:rsidRPr="00A73C45">
        <w:rPr>
          <w:rFonts w:cs="Arial"/>
          <w:lang w:val="en-CA"/>
        </w:rPr>
        <w:t>i</w:t>
      </w:r>
      <w:r w:rsidR="0023350D" w:rsidRPr="00A73C45">
        <w:rPr>
          <w:rFonts w:cs="Arial"/>
          <w:lang w:val="en-CA"/>
        </w:rPr>
        <w:t xml:space="preserve"> Minh City</w:t>
      </w:r>
      <w:r w:rsidR="00964477" w:rsidRPr="00A73C45">
        <w:rPr>
          <w:rFonts w:cs="Arial"/>
          <w:lang w:val="en-CA"/>
        </w:rPr>
        <w:t xml:space="preserve">, Vietnam </w:t>
      </w:r>
      <w:r w:rsidR="00964477" w:rsidRPr="00A73C45">
        <w:rPr>
          <w:lang w:val="en-CA"/>
        </w:rPr>
        <w:t xml:space="preserve">and </w:t>
      </w:r>
      <w:r w:rsidR="0023350D" w:rsidRPr="00A73C45">
        <w:rPr>
          <w:lang w:val="en-CA"/>
        </w:rPr>
        <w:t>should not have had more than 2 days of anti-tuberculosis chemotherapy</w:t>
      </w:r>
      <w:r w:rsidR="00A67464" w:rsidRPr="00A73C45">
        <w:rPr>
          <w:lang w:val="en-CA"/>
        </w:rPr>
        <w:t xml:space="preserve"> or have received aspirin or any other NSAID within 2 weeks of randomisation</w:t>
      </w:r>
      <w:r w:rsidR="0023350D" w:rsidRPr="00A73C45">
        <w:rPr>
          <w:lang w:val="en-CA"/>
        </w:rPr>
        <w:t>.</w:t>
      </w:r>
      <w:r w:rsidR="00D0726E" w:rsidRPr="00A73C45">
        <w:rPr>
          <w:lang w:val="en-CA"/>
        </w:rPr>
        <w:t xml:space="preserve"> They should be able to have an MRI of their brain </w:t>
      </w:r>
      <w:r w:rsidR="00116035">
        <w:rPr>
          <w:lang w:val="en-CA"/>
        </w:rPr>
        <w:t>within</w:t>
      </w:r>
      <w:r w:rsidR="00D0726E" w:rsidRPr="00A73C45">
        <w:rPr>
          <w:lang w:val="en-CA"/>
        </w:rPr>
        <w:t xml:space="preserve"> </w:t>
      </w:r>
      <w:r w:rsidR="00D0726E" w:rsidRPr="00116035">
        <w:rPr>
          <w:lang w:val="en-CA"/>
        </w:rPr>
        <w:t>5 days</w:t>
      </w:r>
      <w:r w:rsidR="00D0726E" w:rsidRPr="00A73C45">
        <w:rPr>
          <w:lang w:val="en-CA"/>
        </w:rPr>
        <w:t xml:space="preserve"> of </w:t>
      </w:r>
      <w:r w:rsidR="00D95904">
        <w:rPr>
          <w:lang w:val="en-CA"/>
        </w:rPr>
        <w:t>randomization</w:t>
      </w:r>
      <w:r w:rsidR="00D525B1" w:rsidRPr="00A73C45">
        <w:rPr>
          <w:lang w:val="en-CA"/>
        </w:rPr>
        <w:t>.</w:t>
      </w:r>
    </w:p>
    <w:p w:rsidR="000F1648" w:rsidRPr="00A73C45" w:rsidRDefault="00807373" w:rsidP="00F46C98">
      <w:pPr>
        <w:pStyle w:val="NormalIndent"/>
        <w:ind w:left="0"/>
        <w:rPr>
          <w:lang w:val="en-CA"/>
        </w:rPr>
      </w:pPr>
      <w:r w:rsidRPr="00A73C45">
        <w:rPr>
          <w:lang w:val="en-CA"/>
        </w:rPr>
        <w:t>Once enrolled, patie</w:t>
      </w:r>
      <w:r w:rsidR="00964477" w:rsidRPr="00A73C45">
        <w:rPr>
          <w:lang w:val="en-CA"/>
        </w:rPr>
        <w:t>nts will be followed for 6</w:t>
      </w:r>
      <w:r w:rsidR="00BC6819">
        <w:rPr>
          <w:lang w:val="en-CA"/>
        </w:rPr>
        <w:t xml:space="preserve">0 days and followed up at </w:t>
      </w:r>
      <w:r w:rsidR="00CE0551">
        <w:rPr>
          <w:lang w:val="en-CA"/>
        </w:rPr>
        <w:t>8</w:t>
      </w:r>
      <w:r w:rsidRPr="00A73C45">
        <w:rPr>
          <w:lang w:val="en-CA"/>
        </w:rPr>
        <w:t>months</w:t>
      </w:r>
      <w:r w:rsidR="00BC6819">
        <w:rPr>
          <w:lang w:val="en-CA"/>
        </w:rPr>
        <w:t xml:space="preserve"> for final outcome</w:t>
      </w:r>
      <w:r w:rsidRPr="00A73C45">
        <w:rPr>
          <w:lang w:val="en-CA"/>
        </w:rPr>
        <w:t xml:space="preserve">. They will all receive standard anti-tuberculosis chemotherapy and adjunctive dexamethasone </w:t>
      </w:r>
      <w:r w:rsidR="001E589E" w:rsidRPr="00A73C45">
        <w:rPr>
          <w:lang w:val="en-CA"/>
        </w:rPr>
        <w:t>(</w:t>
      </w:r>
      <w:r w:rsidRPr="00A73C45">
        <w:rPr>
          <w:lang w:val="en-CA"/>
        </w:rPr>
        <w:t>for 6-8 weeks</w:t>
      </w:r>
      <w:r w:rsidR="001E589E" w:rsidRPr="00A73C45">
        <w:rPr>
          <w:lang w:val="en-CA"/>
        </w:rPr>
        <w:t>)</w:t>
      </w:r>
      <w:r w:rsidRPr="00A73C45">
        <w:rPr>
          <w:lang w:val="en-CA"/>
        </w:rPr>
        <w:t xml:space="preserve">, according to </w:t>
      </w:r>
      <w:r w:rsidR="00964477" w:rsidRPr="00A73C45">
        <w:rPr>
          <w:lang w:val="en-CA"/>
        </w:rPr>
        <w:t xml:space="preserve">respective </w:t>
      </w:r>
      <w:r w:rsidRPr="00A73C45">
        <w:rPr>
          <w:lang w:val="en-CA"/>
        </w:rPr>
        <w:t>National Tuberculosis Programme guidelines</w:t>
      </w:r>
      <w:r w:rsidR="00A347C1" w:rsidRPr="00A73C45">
        <w:rPr>
          <w:lang w:val="en-CA"/>
        </w:rPr>
        <w:t xml:space="preserve"> </w:t>
      </w:r>
      <w:r w:rsidR="00964477" w:rsidRPr="00A73C45">
        <w:rPr>
          <w:lang w:val="en-CA"/>
        </w:rPr>
        <w:t>(</w:t>
      </w:r>
      <w:r w:rsidR="00136EBD" w:rsidRPr="00A73C45">
        <w:rPr>
          <w:lang w:val="en-CA"/>
        </w:rPr>
        <w:t xml:space="preserve">see attached guidelines </w:t>
      </w:r>
      <w:r w:rsidR="00116035">
        <w:rPr>
          <w:lang w:val="en-CA"/>
        </w:rPr>
        <w:t xml:space="preserve">for Viet Nam </w:t>
      </w:r>
      <w:r w:rsidR="00136EBD" w:rsidRPr="00A73C45">
        <w:rPr>
          <w:lang w:val="en-CA"/>
        </w:rPr>
        <w:t>with th</w:t>
      </w:r>
      <w:r w:rsidR="00116035">
        <w:rPr>
          <w:lang w:val="en-CA"/>
        </w:rPr>
        <w:t>is</w:t>
      </w:r>
      <w:r w:rsidR="00345329" w:rsidRPr="00A73C45">
        <w:rPr>
          <w:lang w:val="en-CA"/>
        </w:rPr>
        <w:t xml:space="preserve"> </w:t>
      </w:r>
      <w:r w:rsidR="00136EBD" w:rsidRPr="00A73C45">
        <w:rPr>
          <w:lang w:val="en-CA"/>
        </w:rPr>
        <w:t>protocol</w:t>
      </w:r>
      <w:r w:rsidR="00964477" w:rsidRPr="00A73C45">
        <w:rPr>
          <w:lang w:val="en-CA"/>
        </w:rPr>
        <w:t>)</w:t>
      </w:r>
      <w:r w:rsidRPr="00A73C45">
        <w:rPr>
          <w:lang w:val="en-CA"/>
        </w:rPr>
        <w:t xml:space="preserve">. Participants will be </w:t>
      </w:r>
      <w:r w:rsidR="001E589E" w:rsidRPr="00A73C45">
        <w:rPr>
          <w:lang w:val="en-CA"/>
        </w:rPr>
        <w:t xml:space="preserve">stratified by </w:t>
      </w:r>
      <w:r w:rsidR="00CB17BB" w:rsidRPr="00A73C45">
        <w:rPr>
          <w:lang w:val="en-CA"/>
        </w:rPr>
        <w:t>site</w:t>
      </w:r>
      <w:r w:rsidR="00A347C1" w:rsidRPr="00A73C45">
        <w:rPr>
          <w:lang w:val="en-CA"/>
        </w:rPr>
        <w:t xml:space="preserve"> and</w:t>
      </w:r>
      <w:r w:rsidR="00CB17BB" w:rsidRPr="00A73C45">
        <w:rPr>
          <w:lang w:val="en-CA"/>
        </w:rPr>
        <w:t xml:space="preserve"> </w:t>
      </w:r>
      <w:r w:rsidR="006C6621" w:rsidRPr="00A73C45">
        <w:rPr>
          <w:lang w:val="en-CA"/>
        </w:rPr>
        <w:t>MRC disease severity grade</w:t>
      </w:r>
      <w:r w:rsidR="00D525B1" w:rsidRPr="00A73C45">
        <w:rPr>
          <w:lang w:val="en-CA"/>
        </w:rPr>
        <w:t>,</w:t>
      </w:r>
      <w:r w:rsidR="006C6621" w:rsidRPr="00A73C45">
        <w:rPr>
          <w:lang w:val="en-CA"/>
        </w:rPr>
        <w:t xml:space="preserve"> and </w:t>
      </w:r>
      <w:r w:rsidRPr="00A73C45">
        <w:rPr>
          <w:lang w:val="en-CA"/>
        </w:rPr>
        <w:t>randomised on entry to one of thr</w:t>
      </w:r>
      <w:r w:rsidR="00964477" w:rsidRPr="00A73C45">
        <w:rPr>
          <w:lang w:val="en-CA"/>
        </w:rPr>
        <w:t xml:space="preserve">ee arms (1:1:1 ratio): aspirin </w:t>
      </w:r>
      <w:r w:rsidR="00D525B1" w:rsidRPr="00A73C45">
        <w:rPr>
          <w:lang w:val="en-CA"/>
        </w:rPr>
        <w:t>81</w:t>
      </w:r>
      <w:r w:rsidRPr="00A73C45">
        <w:rPr>
          <w:lang w:val="en-CA"/>
        </w:rPr>
        <w:t>mg</w:t>
      </w:r>
      <w:r w:rsidR="00345329" w:rsidRPr="00A73C45">
        <w:rPr>
          <w:lang w:val="en-CA"/>
        </w:rPr>
        <w:t>, aspirin 1000mg or placebo</w:t>
      </w:r>
      <w:r w:rsidRPr="00A73C45">
        <w:rPr>
          <w:lang w:val="en-CA"/>
        </w:rPr>
        <w:t xml:space="preserve"> </w:t>
      </w:r>
      <w:r w:rsidR="0098197C" w:rsidRPr="00A73C45">
        <w:rPr>
          <w:lang w:val="en-CA"/>
        </w:rPr>
        <w:t>daily for 60 days</w:t>
      </w:r>
      <w:r w:rsidRPr="00A73C45">
        <w:rPr>
          <w:lang w:val="en-CA"/>
        </w:rPr>
        <w:t xml:space="preserve">. Patients will be in-patients for at least the first </w:t>
      </w:r>
      <w:r w:rsidR="006C6621" w:rsidRPr="00A73C45">
        <w:rPr>
          <w:lang w:val="en-CA"/>
        </w:rPr>
        <w:t>14</w:t>
      </w:r>
      <w:r w:rsidRPr="00A73C45">
        <w:rPr>
          <w:lang w:val="en-CA"/>
        </w:rPr>
        <w:t xml:space="preserve"> days </w:t>
      </w:r>
      <w:r w:rsidR="003102C8" w:rsidRPr="00A73C45">
        <w:rPr>
          <w:lang w:val="en-CA"/>
        </w:rPr>
        <w:t>of study treatment</w:t>
      </w:r>
      <w:r w:rsidR="00CD304B" w:rsidRPr="00A73C45">
        <w:rPr>
          <w:lang w:val="en-CA"/>
        </w:rPr>
        <w:t xml:space="preserve"> enabling real-time active surveillance of any adverse </w:t>
      </w:r>
      <w:r w:rsidR="00CB17BB" w:rsidRPr="00A73C45">
        <w:rPr>
          <w:lang w:val="en-CA"/>
        </w:rPr>
        <w:t>events</w:t>
      </w:r>
      <w:r w:rsidR="003102C8" w:rsidRPr="00A73C45">
        <w:rPr>
          <w:lang w:val="en-CA"/>
        </w:rPr>
        <w:t xml:space="preserve"> after which they will be discharged according to clinical care</w:t>
      </w:r>
      <w:r w:rsidRPr="00A73C45">
        <w:rPr>
          <w:lang w:val="en-CA"/>
        </w:rPr>
        <w:t xml:space="preserve">. </w:t>
      </w:r>
      <w:r w:rsidR="003102C8" w:rsidRPr="00A73C45">
        <w:rPr>
          <w:lang w:val="en-CA"/>
        </w:rPr>
        <w:t>Study drug and standard treatment may be continued while patien</w:t>
      </w:r>
      <w:r w:rsidR="00116035">
        <w:rPr>
          <w:lang w:val="en-CA"/>
        </w:rPr>
        <w:t>ts are followed as out-patients</w:t>
      </w:r>
      <w:r w:rsidR="000F1648" w:rsidRPr="00A73C45">
        <w:rPr>
          <w:lang w:val="en-CA"/>
        </w:rPr>
        <w:t xml:space="preserve">. </w:t>
      </w:r>
    </w:p>
    <w:p w:rsidR="000F1648" w:rsidRPr="00A73C45" w:rsidRDefault="00807373" w:rsidP="00F46C98">
      <w:pPr>
        <w:pStyle w:val="NormalIndent"/>
        <w:ind w:left="0"/>
        <w:rPr>
          <w:lang w:val="en-CA"/>
        </w:rPr>
      </w:pPr>
      <w:r w:rsidRPr="00A73C45">
        <w:rPr>
          <w:lang w:val="en-CA"/>
        </w:rPr>
        <w:t xml:space="preserve">Lumbar puncture will be performed before the start of treatment and then repeated </w:t>
      </w:r>
      <w:r w:rsidR="00D525B1" w:rsidRPr="00A73C45">
        <w:rPr>
          <w:lang w:val="en-CA"/>
        </w:rPr>
        <w:t xml:space="preserve">in all patients </w:t>
      </w:r>
      <w:r w:rsidRPr="00A73C45">
        <w:rPr>
          <w:lang w:val="en-CA"/>
        </w:rPr>
        <w:t xml:space="preserve">on </w:t>
      </w:r>
      <w:r w:rsidR="00D525B1" w:rsidRPr="00A73C45">
        <w:rPr>
          <w:lang w:val="en-CA"/>
        </w:rPr>
        <w:t>day</w:t>
      </w:r>
      <w:r w:rsidR="0085446D">
        <w:rPr>
          <w:lang w:val="en-CA"/>
        </w:rPr>
        <w:t xml:space="preserve"> 30 and 60 </w:t>
      </w:r>
      <w:r w:rsidR="00D525B1" w:rsidRPr="00A73C45">
        <w:rPr>
          <w:lang w:val="en-CA"/>
        </w:rPr>
        <w:t xml:space="preserve">as per normal clinical care. </w:t>
      </w:r>
      <w:r w:rsidR="00CB33F7">
        <w:rPr>
          <w:lang w:val="en-CA"/>
        </w:rPr>
        <w:t xml:space="preserve">Blood draws for pharmacokinetic assessment will be done 5 times between days 1 and 14.  </w:t>
      </w:r>
      <w:r w:rsidR="000F1648" w:rsidRPr="00A73C45">
        <w:rPr>
          <w:lang w:val="en-CA"/>
        </w:rPr>
        <w:t>Assessment of peripheral blood monocyte/macrophage antimicrobial activity will be made at baseline and on day</w:t>
      </w:r>
      <w:r w:rsidR="00AC40B3">
        <w:rPr>
          <w:lang w:val="en-CA"/>
        </w:rPr>
        <w:t xml:space="preserve"> </w:t>
      </w:r>
      <w:r w:rsidR="00175137">
        <w:rPr>
          <w:lang w:val="en-CA"/>
        </w:rPr>
        <w:t>240</w:t>
      </w:r>
      <w:r w:rsidR="000F1648" w:rsidRPr="00A73C45">
        <w:rPr>
          <w:lang w:val="en-CA"/>
        </w:rPr>
        <w:t xml:space="preserve">. </w:t>
      </w:r>
    </w:p>
    <w:p w:rsidR="00807373" w:rsidRPr="00A73C45" w:rsidRDefault="00D525B1" w:rsidP="00F46C98">
      <w:pPr>
        <w:pStyle w:val="NormalIndent"/>
        <w:ind w:left="0"/>
        <w:rPr>
          <w:lang w:val="en-CA"/>
        </w:rPr>
      </w:pPr>
      <w:r w:rsidRPr="00A73C45">
        <w:rPr>
          <w:lang w:val="en-CA"/>
        </w:rPr>
        <w:t>C</w:t>
      </w:r>
      <w:r w:rsidR="00807373" w:rsidRPr="00A73C45">
        <w:rPr>
          <w:lang w:val="en-CA"/>
        </w:rPr>
        <w:t xml:space="preserve">linical assessments </w:t>
      </w:r>
      <w:r w:rsidRPr="00A73C45">
        <w:rPr>
          <w:lang w:val="en-CA"/>
        </w:rPr>
        <w:t xml:space="preserve">will be </w:t>
      </w:r>
      <w:r w:rsidR="00807373" w:rsidRPr="00A73C45">
        <w:rPr>
          <w:lang w:val="en-CA"/>
        </w:rPr>
        <w:t xml:space="preserve">performed </w:t>
      </w:r>
      <w:r w:rsidR="003102C8" w:rsidRPr="00A73C45">
        <w:rPr>
          <w:lang w:val="en-CA"/>
        </w:rPr>
        <w:t>at enrolment</w:t>
      </w:r>
      <w:r w:rsidR="005F4A43">
        <w:rPr>
          <w:lang w:val="en-CA"/>
        </w:rPr>
        <w:t xml:space="preserve"> </w:t>
      </w:r>
      <w:r w:rsidR="00721033" w:rsidRPr="00A73C45">
        <w:rPr>
          <w:lang w:val="en-CA"/>
        </w:rPr>
        <w:t>and weekly</w:t>
      </w:r>
      <w:r w:rsidR="000F1648" w:rsidRPr="00A73C45">
        <w:rPr>
          <w:lang w:val="en-CA"/>
        </w:rPr>
        <w:t xml:space="preserve"> </w:t>
      </w:r>
      <w:r w:rsidR="00721033" w:rsidRPr="00A73C45">
        <w:rPr>
          <w:lang w:val="en-CA"/>
        </w:rPr>
        <w:t>between day 7 and discharge</w:t>
      </w:r>
      <w:r w:rsidR="00807373" w:rsidRPr="00A73C45">
        <w:rPr>
          <w:lang w:val="en-CA"/>
        </w:rPr>
        <w:t xml:space="preserve">. Brain magnetic resonance imaging </w:t>
      </w:r>
      <w:r w:rsidR="00CD304B" w:rsidRPr="00A73C45">
        <w:rPr>
          <w:lang w:val="en-CA"/>
        </w:rPr>
        <w:t xml:space="preserve">(MRI) </w:t>
      </w:r>
      <w:r w:rsidR="00807373" w:rsidRPr="00A73C45">
        <w:rPr>
          <w:lang w:val="en-CA"/>
        </w:rPr>
        <w:t>will be performed at baseline</w:t>
      </w:r>
      <w:r w:rsidR="0085446D">
        <w:rPr>
          <w:lang w:val="en-CA"/>
        </w:rPr>
        <w:t xml:space="preserve">, </w:t>
      </w:r>
      <w:r w:rsidR="00CD304B" w:rsidRPr="00A73C45">
        <w:rPr>
          <w:lang w:val="en-CA"/>
        </w:rPr>
        <w:t>day 60</w:t>
      </w:r>
      <w:r w:rsidR="0085446D">
        <w:rPr>
          <w:lang w:val="en-CA"/>
        </w:rPr>
        <w:t xml:space="preserve"> and </w:t>
      </w:r>
      <w:r w:rsidR="006B5C0C">
        <w:rPr>
          <w:lang w:val="en-CA"/>
        </w:rPr>
        <w:t>240</w:t>
      </w:r>
      <w:r w:rsidR="00CD304B" w:rsidRPr="00A73C45">
        <w:rPr>
          <w:lang w:val="en-CA"/>
        </w:rPr>
        <w:t>. A final clinical assessment of neurological di</w:t>
      </w:r>
      <w:r w:rsidR="00E03EC0" w:rsidRPr="00A73C45">
        <w:rPr>
          <w:lang w:val="en-CA"/>
        </w:rPr>
        <w:t xml:space="preserve">sability will be made at </w:t>
      </w:r>
      <w:r w:rsidR="006B5C0C">
        <w:rPr>
          <w:lang w:val="en-CA"/>
        </w:rPr>
        <w:t>240</w:t>
      </w:r>
      <w:r w:rsidR="000F1648" w:rsidRPr="00A73C45">
        <w:rPr>
          <w:lang w:val="en-CA"/>
        </w:rPr>
        <w:t xml:space="preserve"> </w:t>
      </w:r>
      <w:r w:rsidR="00140707" w:rsidRPr="00A73C45">
        <w:rPr>
          <w:lang w:val="en-CA"/>
        </w:rPr>
        <w:t>days</w:t>
      </w:r>
      <w:r w:rsidR="00CD304B" w:rsidRPr="00A73C45">
        <w:rPr>
          <w:lang w:val="en-CA"/>
        </w:rPr>
        <w:t>.</w:t>
      </w:r>
      <w:r w:rsidR="0085446D">
        <w:rPr>
          <w:lang w:val="en-CA"/>
        </w:rPr>
        <w:t xml:space="preserve">  </w:t>
      </w:r>
    </w:p>
    <w:p w:rsidR="00C239A4" w:rsidRPr="00A73C45" w:rsidRDefault="00C239A4" w:rsidP="00F46C98">
      <w:pPr>
        <w:pStyle w:val="NormalIndent"/>
        <w:ind w:left="0"/>
        <w:rPr>
          <w:lang w:val="en-CA"/>
        </w:rPr>
      </w:pPr>
    </w:p>
    <w:p w:rsidR="00F84AE3" w:rsidRPr="00A73C45" w:rsidRDefault="00F84AE3" w:rsidP="003A4A48">
      <w:pPr>
        <w:pStyle w:val="Heading2"/>
        <w:rPr>
          <w:lang w:val="en-CA"/>
        </w:rPr>
      </w:pPr>
      <w:bookmarkStart w:id="40" w:name="_Toc387306479"/>
      <w:r w:rsidRPr="00A73C45">
        <w:rPr>
          <w:lang w:val="en-CA"/>
        </w:rPr>
        <w:t>Primary and Secondary Endpoints/Outcome Measures</w:t>
      </w:r>
      <w:bookmarkEnd w:id="40"/>
    </w:p>
    <w:p w:rsidR="005B6BFD" w:rsidRPr="00A73C45" w:rsidRDefault="00CD304B" w:rsidP="00F46C98">
      <w:pPr>
        <w:pStyle w:val="NormalIndent"/>
        <w:ind w:left="0"/>
        <w:rPr>
          <w:lang w:val="en-CA"/>
        </w:rPr>
      </w:pPr>
      <w:r w:rsidRPr="00A73C45">
        <w:rPr>
          <w:lang w:val="en-CA"/>
        </w:rPr>
        <w:t>The</w:t>
      </w:r>
      <w:r w:rsidR="00C2221F" w:rsidRPr="00A73C45">
        <w:rPr>
          <w:lang w:val="en-CA"/>
        </w:rPr>
        <w:t xml:space="preserve"> </w:t>
      </w:r>
      <w:r w:rsidR="0028044E" w:rsidRPr="00A73C45">
        <w:rPr>
          <w:u w:val="single"/>
          <w:lang w:val="en-CA"/>
        </w:rPr>
        <w:t xml:space="preserve">primary </w:t>
      </w:r>
      <w:r w:rsidR="00DE0BD6" w:rsidRPr="00A73C45">
        <w:rPr>
          <w:u w:val="single"/>
          <w:lang w:val="en-CA"/>
        </w:rPr>
        <w:t xml:space="preserve">safety </w:t>
      </w:r>
      <w:r w:rsidR="0028044E" w:rsidRPr="00A73C45">
        <w:rPr>
          <w:u w:val="single"/>
          <w:lang w:val="en-CA"/>
        </w:rPr>
        <w:t>endpoint</w:t>
      </w:r>
      <w:r w:rsidR="0028044E" w:rsidRPr="00A73C45">
        <w:rPr>
          <w:lang w:val="en-CA"/>
        </w:rPr>
        <w:t xml:space="preserve"> will be</w:t>
      </w:r>
      <w:r w:rsidR="00C2221F" w:rsidRPr="00A73C45">
        <w:rPr>
          <w:lang w:val="en-CA"/>
        </w:rPr>
        <w:t xml:space="preserve"> </w:t>
      </w:r>
      <w:r w:rsidR="00DE0BD6" w:rsidRPr="00A73C45">
        <w:rPr>
          <w:lang w:val="en-CA"/>
        </w:rPr>
        <w:t xml:space="preserve">the occurrence of </w:t>
      </w:r>
      <w:r w:rsidR="006C6621" w:rsidRPr="00A73C45">
        <w:rPr>
          <w:lang w:val="en-CA"/>
        </w:rPr>
        <w:t xml:space="preserve">clinically significant upper-gastro-intestinal bleeding </w:t>
      </w:r>
      <w:r w:rsidR="005B6BFD" w:rsidRPr="00A73C45">
        <w:rPr>
          <w:lang w:val="en-CA"/>
        </w:rPr>
        <w:t xml:space="preserve">and any cerebral bleeding confirmed by brain imaging </w:t>
      </w:r>
      <w:r w:rsidR="006C6621" w:rsidRPr="00A73C45">
        <w:rPr>
          <w:lang w:val="en-CA"/>
        </w:rPr>
        <w:t xml:space="preserve">by 60 days from randomisation. </w:t>
      </w:r>
    </w:p>
    <w:p w:rsidR="00D525B1" w:rsidRPr="00A73C45" w:rsidRDefault="006C6621" w:rsidP="00F46C98">
      <w:pPr>
        <w:pStyle w:val="NormalIndent"/>
        <w:ind w:left="0"/>
        <w:rPr>
          <w:lang w:val="en-CA"/>
        </w:rPr>
      </w:pPr>
      <w:r w:rsidRPr="00A73C45">
        <w:rPr>
          <w:lang w:val="en-CA"/>
        </w:rPr>
        <w:t xml:space="preserve">Clinically significant upper gastro-intestinal </w:t>
      </w:r>
      <w:r w:rsidR="00D525B1" w:rsidRPr="00A73C45">
        <w:rPr>
          <w:lang w:val="en-CA"/>
        </w:rPr>
        <w:t>bleeding will be defined as</w:t>
      </w:r>
      <w:r w:rsidR="00136EBD" w:rsidRPr="00A73C45">
        <w:rPr>
          <w:lang w:val="en-CA"/>
        </w:rPr>
        <w:t xml:space="preserve"> any one of the following</w:t>
      </w:r>
      <w:r w:rsidR="00D525B1" w:rsidRPr="00A73C45">
        <w:rPr>
          <w:lang w:val="en-CA"/>
        </w:rPr>
        <w:t>:</w:t>
      </w:r>
    </w:p>
    <w:p w:rsidR="00E70E7C" w:rsidRPr="00A73C45" w:rsidRDefault="00E70E7C" w:rsidP="00D525B1">
      <w:pPr>
        <w:pStyle w:val="NormalIndent"/>
        <w:numPr>
          <w:ilvl w:val="0"/>
          <w:numId w:val="15"/>
        </w:numPr>
        <w:rPr>
          <w:lang w:val="en-CA"/>
        </w:rPr>
      </w:pPr>
      <w:r w:rsidRPr="00A73C45">
        <w:rPr>
          <w:lang w:val="en-CA"/>
        </w:rPr>
        <w:t>Vomiting fresh or changed blood of any volume</w:t>
      </w:r>
    </w:p>
    <w:p w:rsidR="00E70E7C" w:rsidRPr="00A73C45" w:rsidRDefault="00E70E7C" w:rsidP="00D525B1">
      <w:pPr>
        <w:pStyle w:val="NormalIndent"/>
        <w:numPr>
          <w:ilvl w:val="0"/>
          <w:numId w:val="15"/>
        </w:numPr>
        <w:rPr>
          <w:lang w:val="en-CA"/>
        </w:rPr>
      </w:pPr>
      <w:r w:rsidRPr="00A73C45">
        <w:rPr>
          <w:lang w:val="en-CA"/>
        </w:rPr>
        <w:t>Melena</w:t>
      </w:r>
    </w:p>
    <w:p w:rsidR="00E70E7C" w:rsidRPr="00A73C45" w:rsidRDefault="00E70E7C" w:rsidP="00D525B1">
      <w:pPr>
        <w:pStyle w:val="NormalIndent"/>
        <w:numPr>
          <w:ilvl w:val="0"/>
          <w:numId w:val="15"/>
        </w:numPr>
        <w:rPr>
          <w:lang w:val="en-CA"/>
        </w:rPr>
      </w:pPr>
      <w:r w:rsidRPr="00A73C45">
        <w:rPr>
          <w:lang w:val="en-CA"/>
        </w:rPr>
        <w:t>Unexplained drop in haemoglobin concentration of &gt;2g/L</w:t>
      </w:r>
    </w:p>
    <w:p w:rsidR="00060DBA" w:rsidRPr="00060DBA" w:rsidRDefault="005B6BFD" w:rsidP="00060DBA">
      <w:pPr>
        <w:pStyle w:val="NormalIndent"/>
        <w:numPr>
          <w:ilvl w:val="0"/>
          <w:numId w:val="15"/>
        </w:numPr>
        <w:rPr>
          <w:lang w:val="en-CA"/>
        </w:rPr>
      </w:pPr>
      <w:r w:rsidRPr="00A73C45">
        <w:rPr>
          <w:lang w:val="en-CA"/>
        </w:rPr>
        <w:t>Greater than 5mls</w:t>
      </w:r>
      <w:r w:rsidR="00136EBD" w:rsidRPr="00A73C45">
        <w:rPr>
          <w:lang w:val="en-CA"/>
        </w:rPr>
        <w:t xml:space="preserve"> of f</w:t>
      </w:r>
      <w:r w:rsidR="00E70E7C" w:rsidRPr="00A73C45">
        <w:rPr>
          <w:lang w:val="en-CA"/>
        </w:rPr>
        <w:t>resh or changed blood aspirated from nasogastric tube</w:t>
      </w:r>
    </w:p>
    <w:p w:rsidR="0028044E" w:rsidRPr="00A73C45" w:rsidRDefault="0028044E" w:rsidP="00E70E7C">
      <w:pPr>
        <w:pStyle w:val="NormalIndent"/>
        <w:rPr>
          <w:lang w:val="en-CA"/>
        </w:rPr>
      </w:pPr>
    </w:p>
    <w:p w:rsidR="00DE0BD6" w:rsidRPr="00A73C45" w:rsidRDefault="00DE0BD6" w:rsidP="00F46C98">
      <w:pPr>
        <w:pStyle w:val="NormalIndent"/>
        <w:ind w:left="0"/>
        <w:rPr>
          <w:lang w:val="en-CA"/>
        </w:rPr>
      </w:pPr>
      <w:r w:rsidRPr="00A73C45">
        <w:rPr>
          <w:lang w:val="en-CA"/>
        </w:rPr>
        <w:lastRenderedPageBreak/>
        <w:t xml:space="preserve">The </w:t>
      </w:r>
      <w:r w:rsidRPr="00A73C45">
        <w:rPr>
          <w:u w:val="single"/>
          <w:lang w:val="en-CA"/>
        </w:rPr>
        <w:t>primary efficacy endpoint</w:t>
      </w:r>
      <w:r w:rsidRPr="00A73C45">
        <w:rPr>
          <w:lang w:val="en-CA"/>
        </w:rPr>
        <w:t xml:space="preserve"> will be any new MRI-proven brain infarction or death by 60 days. To assess this endpoint MRI will need to be taken at baseline and at 60 days from randomisation.</w:t>
      </w:r>
      <w:r w:rsidR="00E70E7C" w:rsidRPr="00A73C45">
        <w:rPr>
          <w:lang w:val="en-CA"/>
        </w:rPr>
        <w:t xml:space="preserve"> The scans will be read by an independent neuroradiologist blind to the treatment allocation.</w:t>
      </w:r>
    </w:p>
    <w:p w:rsidR="0028044E" w:rsidRPr="00A73C45" w:rsidRDefault="0028044E" w:rsidP="004970A0">
      <w:pPr>
        <w:pStyle w:val="NormalIndent"/>
        <w:rPr>
          <w:lang w:val="en-CA"/>
        </w:rPr>
      </w:pPr>
    </w:p>
    <w:p w:rsidR="006C6621" w:rsidRPr="00A73C45" w:rsidRDefault="00CD304B" w:rsidP="00F46C98">
      <w:pPr>
        <w:pStyle w:val="NormalIndent"/>
        <w:ind w:left="0"/>
        <w:rPr>
          <w:lang w:val="en-CA"/>
        </w:rPr>
      </w:pPr>
      <w:r w:rsidRPr="00A73C45">
        <w:rPr>
          <w:lang w:val="en-CA"/>
        </w:rPr>
        <w:t xml:space="preserve">The </w:t>
      </w:r>
      <w:r w:rsidRPr="00A73C45">
        <w:rPr>
          <w:u w:val="single"/>
          <w:lang w:val="en-CA"/>
        </w:rPr>
        <w:t>secondary endpoints</w:t>
      </w:r>
      <w:r w:rsidRPr="00A73C45">
        <w:rPr>
          <w:lang w:val="en-CA"/>
        </w:rPr>
        <w:t xml:space="preserve"> will be:</w:t>
      </w:r>
    </w:p>
    <w:p w:rsidR="00455273" w:rsidRPr="00A73C45" w:rsidRDefault="00B10714" w:rsidP="00455273">
      <w:pPr>
        <w:pStyle w:val="NormalIndent"/>
        <w:numPr>
          <w:ilvl w:val="0"/>
          <w:numId w:val="6"/>
        </w:numPr>
        <w:rPr>
          <w:lang w:val="en-CA"/>
        </w:rPr>
      </w:pPr>
      <w:r w:rsidRPr="00A73C45">
        <w:rPr>
          <w:lang w:val="en-CA"/>
        </w:rPr>
        <w:t xml:space="preserve">Number of </w:t>
      </w:r>
      <w:r w:rsidR="00DE0BD6" w:rsidRPr="00A73C45">
        <w:rPr>
          <w:lang w:val="en-CA"/>
        </w:rPr>
        <w:t xml:space="preserve">grade 3&amp;4 and </w:t>
      </w:r>
      <w:r w:rsidR="006C6621" w:rsidRPr="00A73C45">
        <w:rPr>
          <w:lang w:val="en-CA"/>
        </w:rPr>
        <w:t xml:space="preserve">serious </w:t>
      </w:r>
      <w:r w:rsidR="00455273" w:rsidRPr="00A73C45">
        <w:rPr>
          <w:lang w:val="en-CA"/>
        </w:rPr>
        <w:t xml:space="preserve">adverse </w:t>
      </w:r>
      <w:r w:rsidR="00B87E94">
        <w:rPr>
          <w:lang w:val="en-CA"/>
        </w:rPr>
        <w:t>events by day 6</w:t>
      </w:r>
      <w:r w:rsidR="006C6621" w:rsidRPr="00A73C45">
        <w:rPr>
          <w:lang w:val="en-CA"/>
        </w:rPr>
        <w:t>0 from randomisation</w:t>
      </w:r>
    </w:p>
    <w:p w:rsidR="00CD304B" w:rsidRPr="00A73C45" w:rsidRDefault="00DE0BD6" w:rsidP="002A161D">
      <w:pPr>
        <w:pStyle w:val="NormalIndent"/>
        <w:numPr>
          <w:ilvl w:val="0"/>
          <w:numId w:val="6"/>
        </w:numPr>
        <w:rPr>
          <w:lang w:val="en-CA"/>
        </w:rPr>
      </w:pPr>
      <w:r w:rsidRPr="00A73C45">
        <w:rPr>
          <w:lang w:val="en-CA"/>
        </w:rPr>
        <w:t xml:space="preserve">Time to death during </w:t>
      </w:r>
      <w:r w:rsidR="006B5C0C">
        <w:rPr>
          <w:lang w:val="en-CA"/>
        </w:rPr>
        <w:t>240</w:t>
      </w:r>
      <w:r w:rsidRPr="00A73C45">
        <w:rPr>
          <w:lang w:val="en-CA"/>
        </w:rPr>
        <w:t xml:space="preserve"> days </w:t>
      </w:r>
      <w:r w:rsidR="00CD304B" w:rsidRPr="00A73C45">
        <w:rPr>
          <w:lang w:val="en-CA"/>
        </w:rPr>
        <w:t>from randomisation</w:t>
      </w:r>
    </w:p>
    <w:p w:rsidR="00136EBD" w:rsidRPr="00A73C45" w:rsidRDefault="00136EBD" w:rsidP="002A161D">
      <w:pPr>
        <w:pStyle w:val="NormalIndent"/>
        <w:numPr>
          <w:ilvl w:val="0"/>
          <w:numId w:val="6"/>
        </w:numPr>
        <w:rPr>
          <w:lang w:val="en-CA"/>
        </w:rPr>
      </w:pPr>
      <w:r w:rsidRPr="00A73C45">
        <w:rPr>
          <w:lang w:val="en-CA"/>
        </w:rPr>
        <w:t>Duration of hospital stay</w:t>
      </w:r>
    </w:p>
    <w:p w:rsidR="00CD304B" w:rsidRPr="00A73C45" w:rsidRDefault="00CD304B" w:rsidP="002A161D">
      <w:pPr>
        <w:pStyle w:val="NormalIndent"/>
        <w:numPr>
          <w:ilvl w:val="0"/>
          <w:numId w:val="6"/>
        </w:numPr>
        <w:rPr>
          <w:lang w:val="en-CA"/>
        </w:rPr>
      </w:pPr>
      <w:r w:rsidRPr="00A73C45">
        <w:rPr>
          <w:lang w:val="en-CA"/>
        </w:rPr>
        <w:t>Neurological disability (as assessed by the modified Rankin score</w:t>
      </w:r>
      <w:r w:rsidR="005343BF" w:rsidRPr="00A73C45">
        <w:rPr>
          <w:lang w:val="en-CA"/>
        </w:rPr>
        <w:t xml:space="preserve"> and Glasgow outcome score</w:t>
      </w:r>
      <w:r w:rsidRPr="00A73C45">
        <w:rPr>
          <w:lang w:val="en-CA"/>
        </w:rPr>
        <w:t>) by days 60</w:t>
      </w:r>
      <w:r w:rsidR="00B87E94">
        <w:rPr>
          <w:lang w:val="en-CA"/>
        </w:rPr>
        <w:t xml:space="preserve"> </w:t>
      </w:r>
      <w:r w:rsidR="00140707" w:rsidRPr="00A73C45">
        <w:rPr>
          <w:lang w:val="en-CA"/>
        </w:rPr>
        <w:t xml:space="preserve">and </w:t>
      </w:r>
      <w:r w:rsidR="006B5C0C">
        <w:rPr>
          <w:lang w:val="en-CA"/>
        </w:rPr>
        <w:t>240</w:t>
      </w:r>
      <w:r w:rsidR="00E53283" w:rsidRPr="00A73C45">
        <w:rPr>
          <w:lang w:val="en-CA"/>
        </w:rPr>
        <w:t>.</w:t>
      </w:r>
    </w:p>
    <w:p w:rsidR="00CD304B" w:rsidRPr="00A73C45" w:rsidRDefault="00CD304B" w:rsidP="002A161D">
      <w:pPr>
        <w:pStyle w:val="NormalIndent"/>
        <w:numPr>
          <w:ilvl w:val="0"/>
          <w:numId w:val="6"/>
        </w:numPr>
        <w:rPr>
          <w:lang w:val="en-CA"/>
        </w:rPr>
      </w:pPr>
      <w:r w:rsidRPr="00A73C45">
        <w:rPr>
          <w:lang w:val="en-CA"/>
        </w:rPr>
        <w:t xml:space="preserve">Resolution of </w:t>
      </w:r>
      <w:r w:rsidR="00721033" w:rsidRPr="00A73C45">
        <w:rPr>
          <w:lang w:val="en-CA"/>
        </w:rPr>
        <w:t>CSF</w:t>
      </w:r>
      <w:r w:rsidRPr="00A73C45">
        <w:rPr>
          <w:lang w:val="en-CA"/>
        </w:rPr>
        <w:t xml:space="preserve"> inflammation by day </w:t>
      </w:r>
      <w:r w:rsidR="007A1B1D">
        <w:rPr>
          <w:lang w:val="en-CA"/>
        </w:rPr>
        <w:t>30</w:t>
      </w:r>
      <w:r w:rsidR="007A1B1D" w:rsidRPr="00A73C45">
        <w:rPr>
          <w:lang w:val="en-CA"/>
        </w:rPr>
        <w:t xml:space="preserve"> </w:t>
      </w:r>
      <w:r w:rsidRPr="00A73C45">
        <w:rPr>
          <w:lang w:val="en-CA"/>
        </w:rPr>
        <w:t>through measurement of CSF leucocytes, protein, glucose, cytokines</w:t>
      </w:r>
      <w:r w:rsidR="00721033" w:rsidRPr="00A73C45">
        <w:rPr>
          <w:lang w:val="en-CA"/>
        </w:rPr>
        <w:t xml:space="preserve"> (TNF-</w:t>
      </w:r>
      <w:r w:rsidR="00721033" w:rsidRPr="00A73C45">
        <w:rPr>
          <w:rFonts w:cs="Arial"/>
          <w:lang w:val="en-CA"/>
        </w:rPr>
        <w:t>α</w:t>
      </w:r>
      <w:r w:rsidR="00721033" w:rsidRPr="00A73C45">
        <w:rPr>
          <w:lang w:val="en-CA"/>
        </w:rPr>
        <w:t>, IL-1</w:t>
      </w:r>
      <w:r w:rsidR="00721033" w:rsidRPr="00A73C45">
        <w:rPr>
          <w:rFonts w:cs="Arial"/>
          <w:lang w:val="en-CA"/>
        </w:rPr>
        <w:t>β</w:t>
      </w:r>
      <w:r w:rsidR="00721033" w:rsidRPr="00A73C45">
        <w:rPr>
          <w:lang w:val="en-CA"/>
        </w:rPr>
        <w:t>, IL-8, IL-10, IFN</w:t>
      </w:r>
      <w:r w:rsidR="00721033" w:rsidRPr="00A73C45">
        <w:rPr>
          <w:rFonts w:cs="Arial"/>
          <w:lang w:val="en-CA"/>
        </w:rPr>
        <w:t>γ</w:t>
      </w:r>
      <w:r w:rsidR="00721033" w:rsidRPr="00A73C45">
        <w:rPr>
          <w:lang w:val="en-CA"/>
        </w:rPr>
        <w:t>)</w:t>
      </w:r>
      <w:r w:rsidRPr="00A73C45">
        <w:rPr>
          <w:lang w:val="en-CA"/>
        </w:rPr>
        <w:t xml:space="preserve"> and </w:t>
      </w:r>
      <w:r w:rsidR="0098197C" w:rsidRPr="00A73C45">
        <w:rPr>
          <w:lang w:val="en-CA"/>
        </w:rPr>
        <w:t>eicosanoids (15-epi-L</w:t>
      </w:r>
      <w:r w:rsidR="00721033" w:rsidRPr="00A73C45">
        <w:rPr>
          <w:lang w:val="en-CA"/>
        </w:rPr>
        <w:t xml:space="preserve">ipoxin, </w:t>
      </w:r>
      <w:r w:rsidR="0098197C" w:rsidRPr="00A73C45">
        <w:rPr>
          <w:lang w:val="en-CA"/>
        </w:rPr>
        <w:t xml:space="preserve">Lipoxin A4, </w:t>
      </w:r>
      <w:r w:rsidR="00721033" w:rsidRPr="00A73C45">
        <w:rPr>
          <w:lang w:val="en-CA"/>
        </w:rPr>
        <w:t>LTB4, PGE2, TBXB2, PGD2)</w:t>
      </w:r>
      <w:r w:rsidRPr="00A73C45">
        <w:rPr>
          <w:lang w:val="en-CA"/>
        </w:rPr>
        <w:t>.</w:t>
      </w:r>
    </w:p>
    <w:p w:rsidR="00C2221F" w:rsidRPr="00A73C45" w:rsidRDefault="00C2221F" w:rsidP="002A161D">
      <w:pPr>
        <w:pStyle w:val="NormalIndent"/>
        <w:numPr>
          <w:ilvl w:val="0"/>
          <w:numId w:val="6"/>
        </w:numPr>
        <w:rPr>
          <w:lang w:val="en-CA"/>
        </w:rPr>
      </w:pPr>
      <w:r w:rsidRPr="00A73C45">
        <w:rPr>
          <w:lang w:val="en-CA"/>
        </w:rPr>
        <w:t xml:space="preserve">Antimicrobial activity of peripheral blood monocyte/macrophages on day </w:t>
      </w:r>
      <w:r w:rsidR="00175137">
        <w:rPr>
          <w:lang w:val="en-CA"/>
        </w:rPr>
        <w:t>240</w:t>
      </w:r>
      <w:r w:rsidRPr="00A73C45">
        <w:rPr>
          <w:lang w:val="en-CA"/>
        </w:rPr>
        <w:t xml:space="preserve"> compared to baseline</w:t>
      </w:r>
      <w:r w:rsidR="0066017A">
        <w:rPr>
          <w:lang w:val="en-CA"/>
        </w:rPr>
        <w:t>.</w:t>
      </w:r>
      <w:r w:rsidRPr="00A73C45">
        <w:rPr>
          <w:lang w:val="en-CA"/>
        </w:rPr>
        <w:t xml:space="preserve"> </w:t>
      </w:r>
    </w:p>
    <w:p w:rsidR="00CD304B" w:rsidRDefault="00136EBD" w:rsidP="004970A0">
      <w:pPr>
        <w:pStyle w:val="NormalIndent"/>
        <w:numPr>
          <w:ilvl w:val="0"/>
          <w:numId w:val="6"/>
        </w:numPr>
        <w:rPr>
          <w:lang w:val="en-CA"/>
        </w:rPr>
      </w:pPr>
      <w:r w:rsidRPr="00A73C45">
        <w:rPr>
          <w:lang w:val="en-CA"/>
        </w:rPr>
        <w:t xml:space="preserve">The proportion of patients with MRI-proven infarction by day </w:t>
      </w:r>
      <w:r w:rsidR="006B5C0C">
        <w:rPr>
          <w:lang w:val="en-CA"/>
        </w:rPr>
        <w:t>240</w:t>
      </w:r>
      <w:r w:rsidRPr="00A73C45">
        <w:rPr>
          <w:lang w:val="en-CA"/>
        </w:rPr>
        <w:t xml:space="preserve"> </w:t>
      </w:r>
    </w:p>
    <w:p w:rsidR="00EC46CE" w:rsidRPr="00A73C45" w:rsidRDefault="00E96D90" w:rsidP="004970A0">
      <w:pPr>
        <w:pStyle w:val="NormalIndent"/>
        <w:numPr>
          <w:ilvl w:val="0"/>
          <w:numId w:val="6"/>
        </w:numPr>
        <w:rPr>
          <w:lang w:val="en-CA"/>
        </w:rPr>
      </w:pPr>
      <w:r>
        <w:rPr>
          <w:lang w:val="en-CA"/>
        </w:rPr>
        <w:t xml:space="preserve">Concentration-time profile of salicylic acid including exposure, peak levels, half-life, elimination clearance and volume distribution </w:t>
      </w:r>
    </w:p>
    <w:p w:rsidR="00C2221F" w:rsidRPr="00A73C45" w:rsidRDefault="00C2221F" w:rsidP="00C2221F">
      <w:pPr>
        <w:pStyle w:val="NormalIndent"/>
        <w:ind w:left="927"/>
        <w:rPr>
          <w:lang w:val="en-CA"/>
        </w:rPr>
      </w:pPr>
    </w:p>
    <w:p w:rsidR="00F84AE3" w:rsidRPr="00A73C45" w:rsidRDefault="00F84AE3" w:rsidP="00E27146">
      <w:pPr>
        <w:pStyle w:val="Heading1"/>
        <w:rPr>
          <w:lang w:val="en-CA"/>
        </w:rPr>
      </w:pPr>
      <w:bookmarkStart w:id="41" w:name="_Toc387306480"/>
      <w:r w:rsidRPr="00A73C45">
        <w:rPr>
          <w:lang w:val="en-CA"/>
        </w:rPr>
        <w:t>Trial Participants</w:t>
      </w:r>
      <w:bookmarkEnd w:id="41"/>
    </w:p>
    <w:p w:rsidR="00F84AE3" w:rsidRPr="00A73C45" w:rsidRDefault="00F84AE3" w:rsidP="00E27146">
      <w:pPr>
        <w:pStyle w:val="Heading2"/>
        <w:rPr>
          <w:lang w:val="en-CA"/>
        </w:rPr>
      </w:pPr>
      <w:bookmarkStart w:id="42" w:name="_Toc387306481"/>
      <w:r w:rsidRPr="00A73C45">
        <w:rPr>
          <w:lang w:val="en-CA"/>
        </w:rPr>
        <w:t>Overall Description of Trial Participants</w:t>
      </w:r>
      <w:bookmarkEnd w:id="42"/>
    </w:p>
    <w:p w:rsidR="0023350D" w:rsidRDefault="0023350D" w:rsidP="00F46C98">
      <w:pPr>
        <w:pStyle w:val="NormalIndent"/>
        <w:ind w:left="0"/>
        <w:rPr>
          <w:lang w:val="en-CA"/>
        </w:rPr>
      </w:pPr>
      <w:r w:rsidRPr="00A73C45">
        <w:rPr>
          <w:lang w:val="en-CA"/>
        </w:rPr>
        <w:t>The trial w</w:t>
      </w:r>
      <w:r w:rsidR="00245D02">
        <w:rPr>
          <w:lang w:val="en-CA"/>
        </w:rPr>
        <w:t xml:space="preserve">ill enrol </w:t>
      </w:r>
      <w:r w:rsidR="006C6621" w:rsidRPr="00A73C45">
        <w:rPr>
          <w:lang w:val="en-CA"/>
        </w:rPr>
        <w:t>adults (</w:t>
      </w:r>
      <w:r w:rsidR="00843899" w:rsidRPr="00A73C45">
        <w:rPr>
          <w:rFonts w:ascii="MS Gothic" w:eastAsia="MS Gothic"/>
          <w:color w:val="000000"/>
          <w:lang w:val="en-CA"/>
        </w:rPr>
        <w:t>≥</w:t>
      </w:r>
      <w:r w:rsidR="00843899" w:rsidRPr="00A73C45" w:rsidDel="00843899">
        <w:rPr>
          <w:lang w:val="en-CA"/>
        </w:rPr>
        <w:t xml:space="preserve"> </w:t>
      </w:r>
      <w:r w:rsidR="00843899" w:rsidRPr="00A73C45">
        <w:rPr>
          <w:lang w:val="en-CA"/>
        </w:rPr>
        <w:t xml:space="preserve">18 </w:t>
      </w:r>
      <w:r w:rsidRPr="00A73C45">
        <w:rPr>
          <w:lang w:val="en-CA"/>
        </w:rPr>
        <w:t xml:space="preserve">years old) admitted to </w:t>
      </w:r>
      <w:r w:rsidR="00245D02">
        <w:rPr>
          <w:lang w:val="en-CA"/>
        </w:rPr>
        <w:t xml:space="preserve">the </w:t>
      </w:r>
      <w:r w:rsidRPr="00A73C45">
        <w:rPr>
          <w:lang w:val="en-CA"/>
        </w:rPr>
        <w:t>Hospital for Tropical Diseases, Ho Chi Minh City</w:t>
      </w:r>
      <w:r w:rsidR="007875EE" w:rsidRPr="00A73C45">
        <w:rPr>
          <w:lang w:val="en-CA"/>
        </w:rPr>
        <w:t xml:space="preserve">. </w:t>
      </w:r>
      <w:r w:rsidR="00502217" w:rsidRPr="00A73C45">
        <w:rPr>
          <w:lang w:val="en-CA"/>
        </w:rPr>
        <w:t xml:space="preserve">Patients should have </w:t>
      </w:r>
      <w:r w:rsidR="00843899" w:rsidRPr="00A73C45">
        <w:rPr>
          <w:lang w:val="en-CA"/>
        </w:rPr>
        <w:t xml:space="preserve">a </w:t>
      </w:r>
      <w:r w:rsidR="00502217" w:rsidRPr="00A73C45">
        <w:rPr>
          <w:lang w:val="en-CA"/>
        </w:rPr>
        <w:t xml:space="preserve">suspected </w:t>
      </w:r>
      <w:r w:rsidR="00843899" w:rsidRPr="00A73C45">
        <w:rPr>
          <w:lang w:val="en-CA"/>
        </w:rPr>
        <w:t xml:space="preserve">diagnosis of </w:t>
      </w:r>
      <w:r w:rsidR="00502217" w:rsidRPr="00A73C45">
        <w:rPr>
          <w:lang w:val="en-CA"/>
        </w:rPr>
        <w:t>TBM</w:t>
      </w:r>
      <w:r w:rsidR="007258C8" w:rsidRPr="00A73C45">
        <w:rPr>
          <w:lang w:val="en-CA"/>
        </w:rPr>
        <w:t>, as judged by the attending physician</w:t>
      </w:r>
      <w:r w:rsidR="004B43F2">
        <w:rPr>
          <w:lang w:val="en-CA"/>
        </w:rPr>
        <w:t xml:space="preserve"> according to local guidelines</w:t>
      </w:r>
      <w:r w:rsidR="007258C8" w:rsidRPr="00A73C45">
        <w:rPr>
          <w:lang w:val="en-CA"/>
        </w:rPr>
        <w:t xml:space="preserve">, and require anti-tuberculosis treatment. </w:t>
      </w:r>
      <w:r w:rsidR="007875EE" w:rsidRPr="00A73C45">
        <w:rPr>
          <w:lang w:val="en-CA"/>
        </w:rPr>
        <w:t>Published diagnostic criteria</w:t>
      </w:r>
      <w:r w:rsidRPr="00A73C45">
        <w:rPr>
          <w:lang w:val="en-CA"/>
        </w:rPr>
        <w:t xml:space="preserve"> will be used to categorise participants </w:t>
      </w:r>
      <w:r w:rsidR="006C6621" w:rsidRPr="00A73C45">
        <w:rPr>
          <w:lang w:val="en-CA"/>
        </w:rPr>
        <w:t xml:space="preserve">retrospectively </w:t>
      </w:r>
      <w:r w:rsidRPr="00A73C45">
        <w:rPr>
          <w:lang w:val="en-CA"/>
        </w:rPr>
        <w:t>in</w:t>
      </w:r>
      <w:r w:rsidR="006C6621" w:rsidRPr="00A73C45">
        <w:rPr>
          <w:lang w:val="en-CA"/>
        </w:rPr>
        <w:t>to</w:t>
      </w:r>
      <w:r w:rsidRPr="00A73C45">
        <w:rPr>
          <w:lang w:val="en-CA"/>
        </w:rPr>
        <w:t xml:space="preserve"> definite, probable, or possible TBM</w:t>
      </w:r>
      <w:r w:rsidR="007258C8" w:rsidRPr="00A73C45">
        <w:rPr>
          <w:lang w:val="en-CA"/>
        </w:rPr>
        <w:t xml:space="preserve"> once the results of all investigations have returned</w:t>
      </w:r>
      <w:r w:rsidRPr="00A73C45">
        <w:rPr>
          <w:lang w:val="en-CA"/>
        </w:rPr>
        <w:t xml:space="preserve"> (see appendix </w:t>
      </w:r>
      <w:r w:rsidR="00502217" w:rsidRPr="00A73C45">
        <w:rPr>
          <w:lang w:val="en-CA"/>
        </w:rPr>
        <w:t>C</w:t>
      </w:r>
      <w:r w:rsidRPr="00A73C45">
        <w:rPr>
          <w:lang w:val="en-CA"/>
        </w:rPr>
        <w:t>)</w:t>
      </w:r>
      <w:r w:rsidR="00C2221F" w:rsidRPr="00A73C45">
        <w:rPr>
          <w:vertAlign w:val="superscript"/>
          <w:lang w:val="en-CA"/>
        </w:rPr>
        <w:t>24</w:t>
      </w:r>
      <w:r w:rsidRPr="00A73C45">
        <w:rPr>
          <w:lang w:val="en-CA"/>
        </w:rPr>
        <w:t xml:space="preserve">. </w:t>
      </w:r>
    </w:p>
    <w:p w:rsidR="00372310" w:rsidRPr="00A73C45" w:rsidRDefault="00372310" w:rsidP="00F46C98">
      <w:pPr>
        <w:pStyle w:val="NormalIndent"/>
        <w:ind w:left="0"/>
        <w:rPr>
          <w:lang w:val="en-CA"/>
        </w:rPr>
      </w:pPr>
    </w:p>
    <w:p w:rsidR="00F84AE3" w:rsidRPr="00A73C45" w:rsidRDefault="00F84AE3" w:rsidP="00372310">
      <w:pPr>
        <w:pStyle w:val="Heading2"/>
        <w:rPr>
          <w:lang w:val="en-CA"/>
        </w:rPr>
      </w:pPr>
      <w:bookmarkStart w:id="43" w:name="_Toc387306482"/>
      <w:r w:rsidRPr="00A73C45">
        <w:rPr>
          <w:lang w:val="en-CA"/>
        </w:rPr>
        <w:t>Inclusion Criteria</w:t>
      </w:r>
      <w:bookmarkEnd w:id="43"/>
    </w:p>
    <w:p w:rsidR="0023350D" w:rsidRPr="00A73C45" w:rsidRDefault="00140707" w:rsidP="0023350D">
      <w:pPr>
        <w:pStyle w:val="NormalBullet"/>
        <w:rPr>
          <w:lang w:val="en-CA"/>
        </w:rPr>
      </w:pPr>
      <w:r w:rsidRPr="00A73C45">
        <w:rPr>
          <w:lang w:val="en-CA"/>
        </w:rPr>
        <w:t>Male or Female, aged 18</w:t>
      </w:r>
      <w:r w:rsidR="00C2221F" w:rsidRPr="00A73C45">
        <w:rPr>
          <w:lang w:val="en-CA"/>
        </w:rPr>
        <w:t xml:space="preserve"> </w:t>
      </w:r>
      <w:r w:rsidR="0023350D" w:rsidRPr="00A73C45">
        <w:rPr>
          <w:lang w:val="en-CA"/>
        </w:rPr>
        <w:t>years or above.</w:t>
      </w:r>
    </w:p>
    <w:p w:rsidR="0023350D" w:rsidRPr="001C1AF8" w:rsidRDefault="0030415D" w:rsidP="00DB6DB7">
      <w:pPr>
        <w:pStyle w:val="NormalBullet"/>
        <w:rPr>
          <w:lang w:val="en-CA"/>
        </w:rPr>
      </w:pPr>
      <w:r w:rsidRPr="001C1AF8">
        <w:rPr>
          <w:lang w:val="en-CA"/>
        </w:rPr>
        <w:t xml:space="preserve">Suspected </w:t>
      </w:r>
      <w:r w:rsidR="0023350D" w:rsidRPr="001C1AF8">
        <w:rPr>
          <w:lang w:val="en-CA"/>
        </w:rPr>
        <w:t>TBM</w:t>
      </w:r>
      <w:r w:rsidR="00C2221F" w:rsidRPr="001C1AF8">
        <w:rPr>
          <w:lang w:val="en-CA"/>
        </w:rPr>
        <w:t xml:space="preserve"> </w:t>
      </w:r>
      <w:r w:rsidRPr="001C1AF8">
        <w:rPr>
          <w:lang w:val="en-CA"/>
        </w:rPr>
        <w:t xml:space="preserve">and </w:t>
      </w:r>
      <w:r w:rsidR="005B5D09" w:rsidRPr="001C1AF8">
        <w:rPr>
          <w:lang w:val="en-CA"/>
        </w:rPr>
        <w:t>anti-tuberculosis chemotherapy</w:t>
      </w:r>
      <w:r w:rsidRPr="001C1AF8">
        <w:rPr>
          <w:lang w:val="en-CA"/>
        </w:rPr>
        <w:t xml:space="preserve"> either planned or started</w:t>
      </w:r>
    </w:p>
    <w:p w:rsidR="0023350D" w:rsidRPr="001C1AF8" w:rsidRDefault="0023350D" w:rsidP="00DB6DB7">
      <w:pPr>
        <w:pStyle w:val="NormalBullet"/>
        <w:rPr>
          <w:lang w:val="en-CA"/>
        </w:rPr>
      </w:pPr>
      <w:r w:rsidRPr="001C1AF8">
        <w:rPr>
          <w:lang w:val="en-CA"/>
        </w:rPr>
        <w:t>Less than 3 days of anti-tuberculosis chemotherapy</w:t>
      </w:r>
      <w:r w:rsidR="00C2221F" w:rsidRPr="001C1AF8">
        <w:rPr>
          <w:lang w:val="en-CA"/>
        </w:rPr>
        <w:t xml:space="preserve"> </w:t>
      </w:r>
      <w:r w:rsidR="007258C8" w:rsidRPr="001C1AF8">
        <w:rPr>
          <w:lang w:val="en-CA"/>
        </w:rPr>
        <w:t xml:space="preserve">taken </w:t>
      </w:r>
      <w:r w:rsidR="0030415D" w:rsidRPr="001C1AF8">
        <w:rPr>
          <w:lang w:val="en-CA"/>
        </w:rPr>
        <w:t>for the current infection</w:t>
      </w:r>
    </w:p>
    <w:p w:rsidR="0023350D" w:rsidRPr="00A73C45" w:rsidRDefault="0023350D" w:rsidP="0023350D">
      <w:pPr>
        <w:pStyle w:val="NormalBullet"/>
        <w:rPr>
          <w:lang w:val="en-CA"/>
        </w:rPr>
      </w:pPr>
      <w:r w:rsidRPr="001C1AF8">
        <w:rPr>
          <w:lang w:val="en-CA"/>
        </w:rPr>
        <w:t xml:space="preserve">Patient or </w:t>
      </w:r>
      <w:r w:rsidR="00F71C4B" w:rsidRPr="001C1AF8">
        <w:rPr>
          <w:lang w:val="en-CA"/>
        </w:rPr>
        <w:t>r</w:t>
      </w:r>
      <w:r w:rsidR="00F71C4B" w:rsidRPr="00A73C45">
        <w:rPr>
          <w:lang w:val="en-CA"/>
        </w:rPr>
        <w:t xml:space="preserve">epresentative </w:t>
      </w:r>
      <w:r w:rsidRPr="00A73C45">
        <w:rPr>
          <w:lang w:val="en-CA"/>
        </w:rPr>
        <w:t xml:space="preserve">(if the patient is </w:t>
      </w:r>
      <w:r w:rsidR="001C308B">
        <w:rPr>
          <w:lang w:val="en-CA"/>
        </w:rPr>
        <w:t>unable</w:t>
      </w:r>
      <w:r w:rsidRPr="00A73C45">
        <w:rPr>
          <w:lang w:val="en-CA"/>
        </w:rPr>
        <w:t>) is willing and able to give informed consent for participation in the study.</w:t>
      </w:r>
    </w:p>
    <w:p w:rsidR="00F84AE3" w:rsidRPr="00A73C45" w:rsidRDefault="00F84AE3" w:rsidP="00372310">
      <w:pPr>
        <w:pStyle w:val="Heading2"/>
        <w:rPr>
          <w:lang w:val="en-CA"/>
        </w:rPr>
      </w:pPr>
      <w:bookmarkStart w:id="44" w:name="_Toc387306483"/>
      <w:r w:rsidRPr="00A73C45">
        <w:rPr>
          <w:lang w:val="en-CA"/>
        </w:rPr>
        <w:lastRenderedPageBreak/>
        <w:t>Exclusion Criteria</w:t>
      </w:r>
      <w:bookmarkEnd w:id="44"/>
    </w:p>
    <w:p w:rsidR="00F84AE3" w:rsidRPr="00A73C45" w:rsidRDefault="005B5D09" w:rsidP="00F46C98">
      <w:pPr>
        <w:pStyle w:val="NormalIndent"/>
        <w:ind w:left="0"/>
        <w:rPr>
          <w:i/>
          <w:lang w:val="en-CA"/>
        </w:rPr>
      </w:pPr>
      <w:r w:rsidRPr="00A73C45">
        <w:rPr>
          <w:lang w:val="en-CA"/>
        </w:rPr>
        <w:t>Patients</w:t>
      </w:r>
      <w:r w:rsidR="00F84AE3" w:rsidRPr="00A73C45">
        <w:rPr>
          <w:lang w:val="en-CA"/>
        </w:rPr>
        <w:t xml:space="preserve"> may not enter the study if ANY of the following apply:</w:t>
      </w:r>
    </w:p>
    <w:p w:rsidR="005B5D09" w:rsidRPr="00A73C45" w:rsidRDefault="005B5D09" w:rsidP="00DB6DB7">
      <w:pPr>
        <w:pStyle w:val="NormalBullet"/>
        <w:rPr>
          <w:lang w:val="en-CA"/>
        </w:rPr>
      </w:pPr>
      <w:r w:rsidRPr="00A73C45">
        <w:rPr>
          <w:lang w:val="en-CA"/>
        </w:rPr>
        <w:t>HIV infection</w:t>
      </w:r>
      <w:r w:rsidR="00EB252E" w:rsidRPr="00A73C45">
        <w:rPr>
          <w:lang w:val="en-CA"/>
        </w:rPr>
        <w:t xml:space="preserve"> (negative rapid test</w:t>
      </w:r>
      <w:r w:rsidR="00E53283" w:rsidRPr="00A73C45">
        <w:rPr>
          <w:lang w:val="en-CA"/>
        </w:rPr>
        <w:t xml:space="preserve"> or</w:t>
      </w:r>
      <w:r w:rsidR="003E1558">
        <w:rPr>
          <w:lang w:val="en-CA"/>
        </w:rPr>
        <w:t xml:space="preserve"> Elisa test </w:t>
      </w:r>
      <w:r w:rsidR="00E53283" w:rsidRPr="00A73C45">
        <w:rPr>
          <w:lang w:val="en-CA"/>
        </w:rPr>
        <w:t>is required</w:t>
      </w:r>
      <w:r w:rsidR="00EB252E" w:rsidRPr="00A73C45">
        <w:rPr>
          <w:lang w:val="en-CA"/>
        </w:rPr>
        <w:t>)</w:t>
      </w:r>
    </w:p>
    <w:p w:rsidR="0030415D" w:rsidRPr="001C1AF8" w:rsidRDefault="0030415D" w:rsidP="00DB6DB7">
      <w:pPr>
        <w:pStyle w:val="NormalBullet"/>
        <w:rPr>
          <w:lang w:val="en-CA"/>
        </w:rPr>
      </w:pPr>
      <w:r w:rsidRPr="00A73C45">
        <w:rPr>
          <w:lang w:val="en-CA"/>
        </w:rPr>
        <w:t xml:space="preserve">They are unlikely, for any reason, to be able to have an MRI </w:t>
      </w:r>
      <w:r w:rsidRPr="001C1AF8">
        <w:rPr>
          <w:lang w:val="en-CA"/>
        </w:rPr>
        <w:t xml:space="preserve">brain scan within </w:t>
      </w:r>
      <w:r w:rsidR="001C1AF8" w:rsidRPr="001C1AF8">
        <w:rPr>
          <w:lang w:val="en-CA"/>
        </w:rPr>
        <w:t>5</w:t>
      </w:r>
      <w:r w:rsidRPr="001C1AF8">
        <w:rPr>
          <w:lang w:val="en-CA"/>
        </w:rPr>
        <w:t xml:space="preserve"> days </w:t>
      </w:r>
      <w:r w:rsidR="007D0D57">
        <w:rPr>
          <w:lang w:val="en-CA"/>
        </w:rPr>
        <w:t xml:space="preserve">(120 hours) </w:t>
      </w:r>
      <w:r w:rsidRPr="001C1AF8">
        <w:rPr>
          <w:lang w:val="en-CA"/>
        </w:rPr>
        <w:t>of randomisation</w:t>
      </w:r>
    </w:p>
    <w:p w:rsidR="005B5D09" w:rsidRPr="00A73C45" w:rsidRDefault="005B5D09" w:rsidP="00DB6DB7">
      <w:pPr>
        <w:pStyle w:val="NormalBullet"/>
        <w:rPr>
          <w:lang w:val="en-CA"/>
        </w:rPr>
      </w:pPr>
      <w:r w:rsidRPr="00A73C45">
        <w:rPr>
          <w:lang w:val="en-CA"/>
        </w:rPr>
        <w:t>Known or suspected infection with multi-drug resistant tuberculosis (resistant to at least isoniazid and rifampicin)</w:t>
      </w:r>
    </w:p>
    <w:p w:rsidR="005B5D09" w:rsidRDefault="005B5D09" w:rsidP="00DB6DB7">
      <w:pPr>
        <w:pStyle w:val="NormalBullet"/>
        <w:rPr>
          <w:lang w:val="en-CA"/>
        </w:rPr>
      </w:pPr>
      <w:r w:rsidRPr="00A73C45">
        <w:rPr>
          <w:lang w:val="en-CA"/>
        </w:rPr>
        <w:t>Unable to take isoniazid, rifampicin, or pyrazinamide at recommended doses for any reason</w:t>
      </w:r>
    </w:p>
    <w:p w:rsidR="001C308B" w:rsidRPr="003C6055" w:rsidRDefault="00FD5346" w:rsidP="00DB6DB7">
      <w:pPr>
        <w:pStyle w:val="NormalBullet"/>
        <w:rPr>
          <w:lang w:val="en-CA"/>
        </w:rPr>
      </w:pPr>
      <w:r>
        <w:rPr>
          <w:rFonts w:cs="Arial"/>
          <w:color w:val="000000"/>
        </w:rPr>
        <w:t>H</w:t>
      </w:r>
      <w:r w:rsidR="001C308B" w:rsidRPr="001C308B">
        <w:rPr>
          <w:rFonts w:cs="Arial"/>
          <w:color w:val="000000"/>
        </w:rPr>
        <w:t xml:space="preserve">istory of </w:t>
      </w:r>
      <w:r>
        <w:rPr>
          <w:rFonts w:cs="Arial"/>
          <w:color w:val="000000"/>
        </w:rPr>
        <w:t xml:space="preserve">diagnosed </w:t>
      </w:r>
      <w:r w:rsidR="001C308B" w:rsidRPr="001C308B">
        <w:rPr>
          <w:rFonts w:cs="Arial"/>
          <w:color w:val="000000"/>
        </w:rPr>
        <w:t>peptic ulceration</w:t>
      </w:r>
      <w:r w:rsidR="006B5C0C">
        <w:rPr>
          <w:rFonts w:cs="Arial"/>
          <w:color w:val="000000"/>
        </w:rPr>
        <w:t xml:space="preserve"> or </w:t>
      </w:r>
      <w:r w:rsidR="00CB2F1E">
        <w:rPr>
          <w:rFonts w:cs="Arial"/>
          <w:color w:val="000000"/>
        </w:rPr>
        <w:t>g</w:t>
      </w:r>
      <w:r w:rsidR="00244855">
        <w:rPr>
          <w:rFonts w:cs="Arial"/>
          <w:color w:val="000000"/>
        </w:rPr>
        <w:t>astro-</w:t>
      </w:r>
      <w:r w:rsidR="00CB2F1E">
        <w:rPr>
          <w:rFonts w:cs="Arial"/>
          <w:color w:val="000000"/>
        </w:rPr>
        <w:t>i</w:t>
      </w:r>
      <w:r w:rsidR="00244855">
        <w:rPr>
          <w:rFonts w:cs="Arial"/>
          <w:color w:val="000000"/>
        </w:rPr>
        <w:t>ntestinal</w:t>
      </w:r>
      <w:r w:rsidR="001C308B" w:rsidRPr="001C308B">
        <w:rPr>
          <w:rFonts w:cs="Arial"/>
          <w:color w:val="000000"/>
        </w:rPr>
        <w:t xml:space="preserve"> bleeding</w:t>
      </w:r>
    </w:p>
    <w:p w:rsidR="006B1B76" w:rsidRPr="001C308B" w:rsidRDefault="006B1B76" w:rsidP="00DB6DB7">
      <w:pPr>
        <w:pStyle w:val="NormalBullet"/>
        <w:rPr>
          <w:lang w:val="en-CA"/>
        </w:rPr>
      </w:pPr>
      <w:r>
        <w:rPr>
          <w:rFonts w:cs="Arial"/>
          <w:color w:val="000000"/>
        </w:rPr>
        <w:t>Active gastro-intestinal bleeding is suspected</w:t>
      </w:r>
    </w:p>
    <w:p w:rsidR="005B5D09" w:rsidRPr="00A73C45" w:rsidRDefault="005B5D09" w:rsidP="00DB6DB7">
      <w:pPr>
        <w:pStyle w:val="NormalBullet"/>
        <w:rPr>
          <w:lang w:val="en-CA"/>
        </w:rPr>
      </w:pPr>
      <w:r w:rsidRPr="00A73C45">
        <w:rPr>
          <w:lang w:val="en-CA"/>
        </w:rPr>
        <w:t>Tak</w:t>
      </w:r>
      <w:r w:rsidR="005343BF" w:rsidRPr="00A73C45">
        <w:rPr>
          <w:lang w:val="en-CA"/>
        </w:rPr>
        <w:t>en &gt;1 dose of a</w:t>
      </w:r>
      <w:r w:rsidRPr="00A73C45">
        <w:rPr>
          <w:lang w:val="en-CA"/>
        </w:rPr>
        <w:t xml:space="preserve">spirin (at any dose) </w:t>
      </w:r>
      <w:r w:rsidR="003E68F1" w:rsidRPr="00A73C45">
        <w:rPr>
          <w:lang w:val="en-CA"/>
        </w:rPr>
        <w:t xml:space="preserve">or any other NSAID </w:t>
      </w:r>
      <w:r w:rsidRPr="00A73C45">
        <w:rPr>
          <w:lang w:val="en-CA"/>
        </w:rPr>
        <w:t xml:space="preserve">for any reason within </w:t>
      </w:r>
      <w:r w:rsidR="005343BF" w:rsidRPr="00A73C45">
        <w:rPr>
          <w:lang w:val="en-CA"/>
        </w:rPr>
        <w:t>2 weeks</w:t>
      </w:r>
      <w:r w:rsidRPr="00A73C45">
        <w:rPr>
          <w:lang w:val="en-CA"/>
        </w:rPr>
        <w:t xml:space="preserve"> of screening</w:t>
      </w:r>
    </w:p>
    <w:p w:rsidR="005B5D09" w:rsidRPr="00A73C45" w:rsidRDefault="005B5D09" w:rsidP="00DB6DB7">
      <w:pPr>
        <w:pStyle w:val="NormalBullet"/>
        <w:rPr>
          <w:lang w:val="en-CA"/>
        </w:rPr>
      </w:pPr>
      <w:r w:rsidRPr="00A73C45">
        <w:rPr>
          <w:lang w:val="en-CA"/>
        </w:rPr>
        <w:t>Aspirin consider</w:t>
      </w:r>
      <w:r w:rsidR="003D1479" w:rsidRPr="00A73C45">
        <w:rPr>
          <w:lang w:val="en-CA"/>
        </w:rPr>
        <w:t>ed</w:t>
      </w:r>
      <w:r w:rsidRPr="00A73C45">
        <w:rPr>
          <w:lang w:val="en-CA"/>
        </w:rPr>
        <w:t xml:space="preserve"> mandatory for any reason</w:t>
      </w:r>
      <w:r w:rsidR="00140707" w:rsidRPr="00A73C45">
        <w:rPr>
          <w:lang w:val="en-CA"/>
        </w:rPr>
        <w:t xml:space="preserve"> by the attending physician</w:t>
      </w:r>
    </w:p>
    <w:p w:rsidR="005B5D09" w:rsidRPr="00A73C45" w:rsidRDefault="005B5D09" w:rsidP="00DB6DB7">
      <w:pPr>
        <w:pStyle w:val="NormalBullet"/>
        <w:rPr>
          <w:lang w:val="en-CA"/>
        </w:rPr>
      </w:pPr>
      <w:r w:rsidRPr="00A73C45">
        <w:rPr>
          <w:lang w:val="en-CA"/>
        </w:rPr>
        <w:t>Aspirin considered to be contraindicated for any reason</w:t>
      </w:r>
      <w:r w:rsidR="00140707" w:rsidRPr="00A73C45">
        <w:rPr>
          <w:lang w:val="en-CA"/>
        </w:rPr>
        <w:t xml:space="preserve"> by the attending physician</w:t>
      </w:r>
    </w:p>
    <w:p w:rsidR="005B5D09" w:rsidRDefault="005B5D09" w:rsidP="00DB6DB7">
      <w:pPr>
        <w:pStyle w:val="NormalBullet"/>
        <w:rPr>
          <w:lang w:val="en-CA"/>
        </w:rPr>
      </w:pPr>
      <w:r w:rsidRPr="00A73C45">
        <w:rPr>
          <w:lang w:val="en-CA"/>
        </w:rPr>
        <w:t>Pregnancy or breast feeding</w:t>
      </w:r>
      <w:r w:rsidR="00A519C3" w:rsidRPr="00A73C45">
        <w:rPr>
          <w:lang w:val="en-CA"/>
        </w:rPr>
        <w:t xml:space="preserve"> (negative urine pregnancy test for all females of child-bearing age)</w:t>
      </w:r>
    </w:p>
    <w:p w:rsidR="0095740F" w:rsidRPr="00A73C45" w:rsidRDefault="001107F2" w:rsidP="0095740F">
      <w:pPr>
        <w:pStyle w:val="NormalBullet"/>
        <w:rPr>
          <w:lang w:val="en-CA"/>
        </w:rPr>
      </w:pPr>
      <w:r>
        <w:rPr>
          <w:lang w:val="en-CA"/>
        </w:rPr>
        <w:t xml:space="preserve">Dexamethasone considered to be contraindicated for any reason by the attending physician </w:t>
      </w:r>
      <w:r w:rsidR="0095740F">
        <w:rPr>
          <w:lang w:val="en-CA"/>
        </w:rPr>
        <w:t>.</w:t>
      </w:r>
    </w:p>
    <w:p w:rsidR="00F84AE3" w:rsidRDefault="00F84AE3" w:rsidP="00DB6DB7">
      <w:pPr>
        <w:pStyle w:val="NormalBullet"/>
        <w:rPr>
          <w:lang w:val="en-CA"/>
        </w:rPr>
      </w:pPr>
      <w:r w:rsidRPr="00A73C45">
        <w:rPr>
          <w:lang w:val="en-CA"/>
        </w:rPr>
        <w:t>Any other significant disease or disorder which, in the opinion of the Investigator, may either put the participants at risk because of participation in the study, or may influence the result of the study, or the participant’s ability to participate in the study.</w:t>
      </w:r>
    </w:p>
    <w:p w:rsidR="002547E8" w:rsidRPr="00A73C45" w:rsidRDefault="002547E8" w:rsidP="005B6BFD">
      <w:pPr>
        <w:pStyle w:val="NormalIndent"/>
        <w:ind w:left="0"/>
        <w:rPr>
          <w:lang w:val="en-CA"/>
        </w:rPr>
      </w:pPr>
    </w:p>
    <w:p w:rsidR="00F84AE3" w:rsidRPr="00A73C45" w:rsidRDefault="00F84AE3" w:rsidP="003A4A48">
      <w:pPr>
        <w:pStyle w:val="Heading2"/>
        <w:rPr>
          <w:lang w:val="en-CA"/>
        </w:rPr>
      </w:pPr>
      <w:bookmarkStart w:id="45" w:name="_Toc387306484"/>
      <w:r w:rsidRPr="00A73C45">
        <w:rPr>
          <w:lang w:val="en-CA"/>
        </w:rPr>
        <w:t>Study Procedures</w:t>
      </w:r>
      <w:bookmarkEnd w:id="45"/>
    </w:p>
    <w:p w:rsidR="00231817" w:rsidRPr="00A73C45" w:rsidRDefault="00231817" w:rsidP="00760A3B">
      <w:pPr>
        <w:pStyle w:val="Heading3"/>
        <w:rPr>
          <w:lang w:val="en-CA"/>
        </w:rPr>
      </w:pPr>
      <w:bookmarkStart w:id="46" w:name="_Toc387306485"/>
      <w:r w:rsidRPr="00A73C45">
        <w:rPr>
          <w:lang w:val="en-CA"/>
        </w:rPr>
        <w:t>Identification of Potential Participants</w:t>
      </w:r>
      <w:bookmarkEnd w:id="46"/>
    </w:p>
    <w:p w:rsidR="005E2D52" w:rsidRPr="00A73C45" w:rsidRDefault="005E2D52" w:rsidP="00F46C98">
      <w:pPr>
        <w:pStyle w:val="NormalIndent"/>
        <w:ind w:left="0"/>
        <w:rPr>
          <w:lang w:val="en-CA"/>
        </w:rPr>
      </w:pPr>
      <w:r w:rsidRPr="00A73C45">
        <w:rPr>
          <w:lang w:val="en-CA"/>
        </w:rPr>
        <w:t xml:space="preserve">All patients with suspected TBM </w:t>
      </w:r>
      <w:r w:rsidR="004B43F2">
        <w:rPr>
          <w:lang w:val="en-CA"/>
        </w:rPr>
        <w:t xml:space="preserve">according to local guidelines </w:t>
      </w:r>
      <w:r w:rsidRPr="00A73C45">
        <w:rPr>
          <w:lang w:val="en-CA"/>
        </w:rPr>
        <w:t xml:space="preserve">will be </w:t>
      </w:r>
      <w:r w:rsidR="008F5D80">
        <w:rPr>
          <w:lang w:val="en-CA"/>
        </w:rPr>
        <w:t>identified for s</w:t>
      </w:r>
      <w:r w:rsidRPr="00A73C45">
        <w:rPr>
          <w:lang w:val="en-CA"/>
        </w:rPr>
        <w:t>creen</w:t>
      </w:r>
      <w:r w:rsidR="008F5D80">
        <w:rPr>
          <w:lang w:val="en-CA"/>
        </w:rPr>
        <w:t>ing</w:t>
      </w:r>
      <w:r w:rsidRPr="00A73C45">
        <w:rPr>
          <w:lang w:val="en-CA"/>
        </w:rPr>
        <w:t xml:space="preserve"> by the ward doctors. </w:t>
      </w:r>
      <w:r w:rsidR="00FC7A4D" w:rsidRPr="00A73C45">
        <w:rPr>
          <w:lang w:val="en-CA"/>
        </w:rPr>
        <w:t>As a part of clinical care p</w:t>
      </w:r>
      <w:r w:rsidR="005D47C6" w:rsidRPr="00A73C45">
        <w:rPr>
          <w:lang w:val="en-CA"/>
        </w:rPr>
        <w:t xml:space="preserve">atients </w:t>
      </w:r>
      <w:r w:rsidR="00FC7A4D" w:rsidRPr="00A73C45">
        <w:rPr>
          <w:lang w:val="en-CA"/>
        </w:rPr>
        <w:t xml:space="preserve">will </w:t>
      </w:r>
      <w:r w:rsidR="005D47C6" w:rsidRPr="00A73C45">
        <w:rPr>
          <w:lang w:val="en-CA"/>
        </w:rPr>
        <w:t>have a lumbar puncture</w:t>
      </w:r>
      <w:r w:rsidR="00FC7A4D" w:rsidRPr="00A73C45">
        <w:rPr>
          <w:lang w:val="en-CA"/>
        </w:rPr>
        <w:t xml:space="preserve">, </w:t>
      </w:r>
      <w:r w:rsidR="00446929" w:rsidRPr="00A73C45">
        <w:rPr>
          <w:lang w:val="en-CA"/>
        </w:rPr>
        <w:t>and when possible, a GeneXpert MTB/RIF test on CSF to assess likelihood of infection with multi-drug resistant tuberculosis.  T</w:t>
      </w:r>
      <w:r w:rsidR="00FC7A4D" w:rsidRPr="00A73C45">
        <w:rPr>
          <w:lang w:val="en-CA"/>
        </w:rPr>
        <w:t xml:space="preserve">he results of </w:t>
      </w:r>
      <w:r w:rsidR="00446929" w:rsidRPr="00A73C45">
        <w:rPr>
          <w:lang w:val="en-CA"/>
        </w:rPr>
        <w:t xml:space="preserve">these tests </w:t>
      </w:r>
      <w:r w:rsidR="00FC7A4D" w:rsidRPr="00A73C45">
        <w:rPr>
          <w:lang w:val="en-CA"/>
        </w:rPr>
        <w:t>w</w:t>
      </w:r>
      <w:r w:rsidR="008F5D80">
        <w:rPr>
          <w:lang w:val="en-CA"/>
        </w:rPr>
        <w:t>ill be available for study screening</w:t>
      </w:r>
      <w:r w:rsidR="00446929" w:rsidRPr="00A73C45">
        <w:rPr>
          <w:lang w:val="en-CA"/>
        </w:rPr>
        <w:t>.</w:t>
      </w:r>
    </w:p>
    <w:p w:rsidR="00F84AE3" w:rsidRPr="00A73C45" w:rsidRDefault="00F84AE3" w:rsidP="00760A3B">
      <w:pPr>
        <w:pStyle w:val="Heading3"/>
        <w:rPr>
          <w:lang w:val="en-CA"/>
        </w:rPr>
      </w:pPr>
      <w:bookmarkStart w:id="47" w:name="_Toc387306486"/>
      <w:r w:rsidRPr="00A73C45">
        <w:rPr>
          <w:lang w:val="en-CA"/>
        </w:rPr>
        <w:t>Informed Consent</w:t>
      </w:r>
      <w:bookmarkEnd w:id="47"/>
    </w:p>
    <w:p w:rsidR="009F779A" w:rsidRPr="00A73C45" w:rsidRDefault="009F779A" w:rsidP="00F46C98">
      <w:pPr>
        <w:pStyle w:val="NormalIndent"/>
        <w:ind w:left="0"/>
        <w:rPr>
          <w:rFonts w:cs="Arial"/>
          <w:lang w:val="en-CA"/>
        </w:rPr>
      </w:pPr>
      <w:r w:rsidRPr="00A73C45">
        <w:rPr>
          <w:lang w:val="en-CA"/>
        </w:rPr>
        <w:t xml:space="preserve">Informed consent will be taken by the </w:t>
      </w:r>
      <w:r w:rsidR="002E4C14" w:rsidRPr="00A73C45">
        <w:rPr>
          <w:lang w:val="en-CA"/>
        </w:rPr>
        <w:t>attending</w:t>
      </w:r>
      <w:r w:rsidRPr="00A73C45">
        <w:rPr>
          <w:lang w:val="en-CA"/>
        </w:rPr>
        <w:t xml:space="preserve"> doctors, all of whom will receive specific training in the study</w:t>
      </w:r>
      <w:r w:rsidR="00B14131" w:rsidRPr="00A73C45">
        <w:rPr>
          <w:lang w:val="en-CA"/>
        </w:rPr>
        <w:t xml:space="preserve"> and will be authorised to take consent by the trial PI</w:t>
      </w:r>
      <w:r w:rsidRPr="00A73C45">
        <w:rPr>
          <w:lang w:val="en-CA"/>
        </w:rPr>
        <w:t>. These doctors will also assess whether or not the patient has mental capacity to provide informed consent. If the</w:t>
      </w:r>
      <w:r w:rsidR="008C7CB3">
        <w:rPr>
          <w:lang w:val="en-CA"/>
        </w:rPr>
        <w:t xml:space="preserve"> doctor</w:t>
      </w:r>
      <w:r w:rsidRPr="00A73C45">
        <w:rPr>
          <w:lang w:val="en-CA"/>
        </w:rPr>
        <w:t xml:space="preserve"> judge</w:t>
      </w:r>
      <w:r w:rsidR="008C7CB3">
        <w:rPr>
          <w:lang w:val="en-CA"/>
        </w:rPr>
        <w:t>s</w:t>
      </w:r>
      <w:r w:rsidRPr="00A73C45">
        <w:rPr>
          <w:lang w:val="en-CA"/>
        </w:rPr>
        <w:t xml:space="preserve"> that the</w:t>
      </w:r>
      <w:r w:rsidR="008C7CB3">
        <w:rPr>
          <w:lang w:val="en-CA"/>
        </w:rPr>
        <w:t xml:space="preserve"> patient </w:t>
      </w:r>
      <w:r w:rsidRPr="00A73C45">
        <w:rPr>
          <w:lang w:val="en-CA"/>
        </w:rPr>
        <w:t>do</w:t>
      </w:r>
      <w:r w:rsidR="008C7CB3">
        <w:rPr>
          <w:lang w:val="en-CA"/>
        </w:rPr>
        <w:t>es</w:t>
      </w:r>
      <w:r w:rsidRPr="00A73C45">
        <w:rPr>
          <w:lang w:val="en-CA"/>
        </w:rPr>
        <w:t xml:space="preserve"> not </w:t>
      </w:r>
      <w:r w:rsidR="008C7CB3">
        <w:rPr>
          <w:lang w:val="en-CA"/>
        </w:rPr>
        <w:t xml:space="preserve">have this capacity </w:t>
      </w:r>
      <w:r w:rsidRPr="00A73C45">
        <w:rPr>
          <w:lang w:val="en-CA"/>
        </w:rPr>
        <w:t xml:space="preserve">(for any </w:t>
      </w:r>
      <w:r w:rsidRPr="00A73C45">
        <w:rPr>
          <w:rFonts w:cs="Arial"/>
          <w:lang w:val="en-CA"/>
        </w:rPr>
        <w:t xml:space="preserve">reason, but most likely </w:t>
      </w:r>
      <w:r w:rsidRPr="00A73C45">
        <w:rPr>
          <w:rFonts w:cs="Arial"/>
          <w:lang w:val="en-CA"/>
        </w:rPr>
        <w:lastRenderedPageBreak/>
        <w:t>to be confusion or coma secondary to TBM)</w:t>
      </w:r>
      <w:r w:rsidR="008C7CB3">
        <w:rPr>
          <w:rFonts w:cs="Arial"/>
          <w:lang w:val="en-CA"/>
        </w:rPr>
        <w:t>,</w:t>
      </w:r>
      <w:r w:rsidRPr="00A73C45">
        <w:rPr>
          <w:rFonts w:cs="Arial"/>
          <w:lang w:val="en-CA"/>
        </w:rPr>
        <w:t xml:space="preserve"> they will obtain informed consent from</w:t>
      </w:r>
      <w:r w:rsidR="00B14131" w:rsidRPr="00A73C45">
        <w:rPr>
          <w:rFonts w:cs="Arial"/>
          <w:lang w:val="en-CA"/>
        </w:rPr>
        <w:t xml:space="preserve"> the patient’s </w:t>
      </w:r>
      <w:r w:rsidR="002A4F6F" w:rsidRPr="00A73C45">
        <w:rPr>
          <w:rFonts w:cs="Arial"/>
          <w:lang w:val="en-CA"/>
        </w:rPr>
        <w:t>representative</w:t>
      </w:r>
      <w:r w:rsidR="002A4FE0" w:rsidRPr="00A73C45">
        <w:rPr>
          <w:rFonts w:cs="Arial"/>
          <w:lang w:val="en-CA"/>
        </w:rPr>
        <w:t xml:space="preserve"> (usually a relative)</w:t>
      </w:r>
      <w:r w:rsidR="00B14131" w:rsidRPr="00A73C45">
        <w:rPr>
          <w:rFonts w:cs="Arial"/>
          <w:lang w:val="en-CA"/>
        </w:rPr>
        <w:t>.</w:t>
      </w:r>
      <w:r w:rsidR="002A4FE0" w:rsidRPr="00A73C45">
        <w:rPr>
          <w:rFonts w:cs="Arial"/>
          <w:lang w:val="en-CA"/>
        </w:rPr>
        <w:t xml:space="preserve">  </w:t>
      </w:r>
    </w:p>
    <w:p w:rsidR="00B14131" w:rsidRPr="00A73C45" w:rsidRDefault="00B14131" w:rsidP="00F46C98">
      <w:pPr>
        <w:pStyle w:val="NormalIndent"/>
        <w:ind w:left="0"/>
        <w:rPr>
          <w:rFonts w:cs="Arial"/>
          <w:lang w:val="en-CA"/>
        </w:rPr>
      </w:pPr>
      <w:r w:rsidRPr="00A73C45">
        <w:rPr>
          <w:rStyle w:val="PTBodyTextNormal"/>
          <w:rFonts w:ascii="Arial" w:hAnsi="Arial" w:cs="Arial"/>
          <w:lang w:val="en-CA"/>
        </w:rPr>
        <w:t>It must be made completely and unambiguously clear that the patient (or their re</w:t>
      </w:r>
      <w:r w:rsidR="006F318D" w:rsidRPr="00A73C45">
        <w:rPr>
          <w:rStyle w:val="PTBodyTextNormal"/>
          <w:rFonts w:ascii="Arial" w:hAnsi="Arial" w:cs="Arial"/>
          <w:lang w:val="en-CA"/>
        </w:rPr>
        <w:t>presentative</w:t>
      </w:r>
      <w:r w:rsidRPr="00A73C45">
        <w:rPr>
          <w:rStyle w:val="PTBodyTextNormal"/>
          <w:rFonts w:ascii="Arial" w:hAnsi="Arial" w:cs="Arial"/>
          <w:lang w:val="en-CA"/>
        </w:rPr>
        <w:t>) is free to refuse to participate in all or any aspect of the trial, at any time and for any reason, without incurring any penalty or affectin</w:t>
      </w:r>
      <w:r w:rsidR="008F5D80">
        <w:rPr>
          <w:rStyle w:val="PTBodyTextNormal"/>
          <w:rFonts w:ascii="Arial" w:hAnsi="Arial" w:cs="Arial"/>
          <w:lang w:val="en-CA"/>
        </w:rPr>
        <w:t xml:space="preserve">g their treatment. </w:t>
      </w:r>
    </w:p>
    <w:p w:rsidR="006F318D" w:rsidRPr="00A73C45" w:rsidRDefault="006F318D" w:rsidP="00520862">
      <w:pPr>
        <w:pStyle w:val="NormalIndent"/>
        <w:ind w:left="0"/>
        <w:rPr>
          <w:lang w:val="en-CA"/>
        </w:rPr>
      </w:pPr>
      <w:r w:rsidRPr="00A73C45">
        <w:rPr>
          <w:lang w:val="en-CA"/>
        </w:rPr>
        <w:t>T</w:t>
      </w:r>
      <w:r w:rsidR="00F84AE3" w:rsidRPr="00A73C45">
        <w:rPr>
          <w:lang w:val="en-CA"/>
        </w:rPr>
        <w:t xml:space="preserve">he </w:t>
      </w:r>
      <w:r w:rsidRPr="00A73C45">
        <w:rPr>
          <w:lang w:val="en-CA"/>
        </w:rPr>
        <w:t>i</w:t>
      </w:r>
      <w:r w:rsidR="00F84AE3" w:rsidRPr="00A73C45">
        <w:rPr>
          <w:lang w:val="en-CA"/>
        </w:rPr>
        <w:t xml:space="preserve">nformed consent </w:t>
      </w:r>
      <w:r w:rsidRPr="00A73C45">
        <w:rPr>
          <w:lang w:val="en-CA"/>
        </w:rPr>
        <w:t xml:space="preserve">form </w:t>
      </w:r>
      <w:r w:rsidR="00F84AE3" w:rsidRPr="00A73C45">
        <w:rPr>
          <w:lang w:val="en-CA"/>
        </w:rPr>
        <w:t xml:space="preserve">will be presented to the participants </w:t>
      </w:r>
      <w:r w:rsidRPr="00A73C45">
        <w:rPr>
          <w:lang w:val="en-CA"/>
        </w:rPr>
        <w:t xml:space="preserve">or representatives </w:t>
      </w:r>
      <w:r w:rsidR="00F84AE3" w:rsidRPr="00A73C45">
        <w:rPr>
          <w:lang w:val="en-CA"/>
        </w:rPr>
        <w:t>detailing no less than: the exact nature of the study; the implications and constraints of the protocol; the known side effects</w:t>
      </w:r>
      <w:r w:rsidR="009935AF" w:rsidRPr="00A73C45">
        <w:rPr>
          <w:lang w:val="en-CA"/>
        </w:rPr>
        <w:t>,</w:t>
      </w:r>
      <w:r w:rsidR="00F84AE3" w:rsidRPr="00A73C45">
        <w:rPr>
          <w:lang w:val="en-CA"/>
        </w:rPr>
        <w:t xml:space="preserve"> risks involved </w:t>
      </w:r>
      <w:r w:rsidR="009935AF" w:rsidRPr="00A73C45">
        <w:rPr>
          <w:lang w:val="en-CA"/>
        </w:rPr>
        <w:t>and alternatives to</w:t>
      </w:r>
      <w:r w:rsidR="00F84AE3" w:rsidRPr="00A73C45">
        <w:rPr>
          <w:lang w:val="en-CA"/>
        </w:rPr>
        <w:t xml:space="preserve"> taking part. </w:t>
      </w:r>
      <w:r w:rsidRPr="00A73C45">
        <w:rPr>
          <w:lang w:val="en-CA"/>
        </w:rPr>
        <w:t xml:space="preserve">Those who refuse consent will be treated as per the best available standard </w:t>
      </w:r>
      <w:r w:rsidR="007754B4" w:rsidRPr="00A73C45">
        <w:rPr>
          <w:lang w:val="en-CA"/>
        </w:rPr>
        <w:t xml:space="preserve">of </w:t>
      </w:r>
      <w:r w:rsidRPr="00A73C45">
        <w:rPr>
          <w:lang w:val="en-CA"/>
        </w:rPr>
        <w:t xml:space="preserve">care and will not have any study related procedures performed.  </w:t>
      </w:r>
    </w:p>
    <w:p w:rsidR="006F318D" w:rsidRPr="00A73C45" w:rsidRDefault="00255480" w:rsidP="00F46C98">
      <w:pPr>
        <w:rPr>
          <w:lang w:val="en-CA"/>
        </w:rPr>
      </w:pPr>
      <w:r w:rsidRPr="00A73C45">
        <w:rPr>
          <w:lang w:val="en-CA"/>
        </w:rPr>
        <w:t xml:space="preserve">The patient or their representative must personally sign and date two of the latest approved version of the informed consent form.  </w:t>
      </w:r>
      <w:r w:rsidR="006F318D" w:rsidRPr="00A73C45">
        <w:rPr>
          <w:lang w:val="en-CA"/>
        </w:rPr>
        <w:t xml:space="preserve">The study staff will also sign and date the two copies.  </w:t>
      </w:r>
    </w:p>
    <w:p w:rsidR="006D6C55" w:rsidRDefault="006F318D" w:rsidP="00F46C98">
      <w:pPr>
        <w:rPr>
          <w:lang w:val="en-CA"/>
        </w:rPr>
      </w:pPr>
      <w:r w:rsidRPr="00A73C45">
        <w:rPr>
          <w:lang w:val="en-CA"/>
        </w:rPr>
        <w:t xml:space="preserve">If the patient/representative is illiterate, a witness who is not a member of the study staff will be present during the informed consent discussion.  The informed consent form will be read to the patient/representative in the presence of the witness.  If the patient/representative agrees to participate, the form will be signed and dated by the witness.   </w:t>
      </w:r>
    </w:p>
    <w:p w:rsidR="004A0325" w:rsidRPr="00A73C45" w:rsidRDefault="004A0325" w:rsidP="004A0325">
      <w:pPr>
        <w:pStyle w:val="NormalIndent"/>
        <w:ind w:left="0"/>
        <w:rPr>
          <w:rFonts w:cs="Arial"/>
          <w:lang w:val="en-CA"/>
        </w:rPr>
      </w:pPr>
      <w:r>
        <w:rPr>
          <w:rStyle w:val="PTBodyTextNormal"/>
          <w:rFonts w:ascii="Arial" w:hAnsi="Arial" w:cs="Arial"/>
          <w:lang w:val="en-CA"/>
        </w:rPr>
        <w:t>If consent i</w:t>
      </w:r>
      <w:r w:rsidRPr="00A73C45">
        <w:rPr>
          <w:rStyle w:val="PTBodyTextNormal"/>
          <w:rFonts w:ascii="Arial" w:hAnsi="Arial" w:cs="Arial"/>
          <w:lang w:val="en-CA"/>
        </w:rPr>
        <w:t>s provided by a representative and the patient regains the capacity to consider participation during the study period, the patient should be consulted and informed consent to continue the study obtained.  If the patient refuses to give informed consent to participate s/he will be withdrawn from the study without compromise to their clinical care.</w:t>
      </w:r>
    </w:p>
    <w:p w:rsidR="00E9343E" w:rsidRPr="00A73C45" w:rsidRDefault="00E9343E" w:rsidP="005F0FB9">
      <w:pPr>
        <w:rPr>
          <w:lang w:val="en-CA"/>
        </w:rPr>
      </w:pPr>
    </w:p>
    <w:p w:rsidR="00F84AE3" w:rsidRPr="00A73C45" w:rsidRDefault="00F84AE3" w:rsidP="00760A3B">
      <w:pPr>
        <w:pStyle w:val="Heading3"/>
        <w:rPr>
          <w:lang w:val="en-CA"/>
        </w:rPr>
      </w:pPr>
      <w:bookmarkStart w:id="48" w:name="_Toc387306487"/>
      <w:r w:rsidRPr="00A73C45">
        <w:rPr>
          <w:lang w:val="en-CA"/>
        </w:rPr>
        <w:t>Screening and Eligibility Assessment</w:t>
      </w:r>
      <w:bookmarkEnd w:id="48"/>
    </w:p>
    <w:p w:rsidR="00334066" w:rsidRPr="00A73C45" w:rsidRDefault="00334066" w:rsidP="00F46C98">
      <w:pPr>
        <w:pStyle w:val="NormalIndent"/>
        <w:ind w:left="0"/>
        <w:rPr>
          <w:lang w:val="en-CA"/>
        </w:rPr>
      </w:pPr>
      <w:r w:rsidRPr="00A73C45">
        <w:rPr>
          <w:lang w:val="en-CA"/>
        </w:rPr>
        <w:t xml:space="preserve">Potential participants will be screened by the </w:t>
      </w:r>
      <w:r w:rsidR="002E4C14" w:rsidRPr="00A73C45">
        <w:rPr>
          <w:lang w:val="en-CA"/>
        </w:rPr>
        <w:t>attending</w:t>
      </w:r>
      <w:r w:rsidRPr="00A73C45">
        <w:rPr>
          <w:lang w:val="en-CA"/>
        </w:rPr>
        <w:t xml:space="preserve"> physicians. Screening will </w:t>
      </w:r>
      <w:r w:rsidR="009862A5" w:rsidRPr="00A73C45">
        <w:rPr>
          <w:lang w:val="en-CA"/>
        </w:rPr>
        <w:t xml:space="preserve">include the </w:t>
      </w:r>
      <w:r w:rsidRPr="00A73C45">
        <w:rPr>
          <w:lang w:val="en-CA"/>
        </w:rPr>
        <w:t xml:space="preserve">CSF analysis </w:t>
      </w:r>
      <w:r w:rsidR="009862A5" w:rsidRPr="00A73C45">
        <w:rPr>
          <w:lang w:val="en-CA"/>
        </w:rPr>
        <w:t xml:space="preserve">results of the standard diagnostic lumbar puncture and </w:t>
      </w:r>
      <w:r w:rsidR="00D34327" w:rsidRPr="00A73C45">
        <w:rPr>
          <w:lang w:val="en-CA"/>
        </w:rPr>
        <w:t xml:space="preserve">GeneXpert MTB/RIF test when </w:t>
      </w:r>
      <w:r w:rsidRPr="00A73C45">
        <w:rPr>
          <w:lang w:val="en-CA"/>
        </w:rPr>
        <w:t xml:space="preserve">available. </w:t>
      </w:r>
      <w:r w:rsidR="005F0FB9">
        <w:rPr>
          <w:lang w:val="en-CA"/>
        </w:rPr>
        <w:t>A</w:t>
      </w:r>
      <w:r w:rsidR="008F5D80" w:rsidRPr="00A73C45">
        <w:rPr>
          <w:lang w:val="en-CA"/>
        </w:rPr>
        <w:t xml:space="preserve">ny residual volume of CSF </w:t>
      </w:r>
      <w:r w:rsidR="005F0FB9">
        <w:rPr>
          <w:lang w:val="en-CA"/>
        </w:rPr>
        <w:t xml:space="preserve">remaining from this lumbar puncture </w:t>
      </w:r>
      <w:r w:rsidR="008F5D80" w:rsidRPr="00A73C45">
        <w:rPr>
          <w:lang w:val="en-CA"/>
        </w:rPr>
        <w:t>will be stored for the purposes of this study</w:t>
      </w:r>
      <w:r w:rsidR="008F5D80">
        <w:rPr>
          <w:lang w:val="en-CA"/>
        </w:rPr>
        <w:t>.</w:t>
      </w:r>
      <w:r w:rsidR="008F5D80" w:rsidRPr="00A73C45">
        <w:rPr>
          <w:lang w:val="en-CA"/>
        </w:rPr>
        <w:t xml:space="preserve"> </w:t>
      </w:r>
      <w:r w:rsidR="008F5D80">
        <w:rPr>
          <w:lang w:val="en-CA"/>
        </w:rPr>
        <w:t xml:space="preserve"> </w:t>
      </w:r>
      <w:r w:rsidRPr="00A73C45">
        <w:rPr>
          <w:lang w:val="en-CA"/>
        </w:rPr>
        <w:t>The results of a</w:t>
      </w:r>
      <w:r w:rsidR="00244855">
        <w:rPr>
          <w:lang w:val="en-CA"/>
        </w:rPr>
        <w:t>n</w:t>
      </w:r>
      <w:r w:rsidRPr="00A73C45">
        <w:rPr>
          <w:lang w:val="en-CA"/>
        </w:rPr>
        <w:t xml:space="preserve"> HIV test (performed routinely on all patients admitted to the ward) will also be available at screening. </w:t>
      </w:r>
      <w:r w:rsidR="006F318D" w:rsidRPr="00A73C45">
        <w:rPr>
          <w:lang w:val="en-CA"/>
        </w:rPr>
        <w:t>Results of any tests performed for clinical care during this illness episode may be used for the purposes of screening.  Residual volumes of samples drawn for clinical care during this illness episode may be tested or stored for analysis detailed in this protocol. Results o</w:t>
      </w:r>
      <w:r w:rsidR="00D34327" w:rsidRPr="00A73C45">
        <w:rPr>
          <w:lang w:val="en-CA"/>
        </w:rPr>
        <w:t>f tests o</w:t>
      </w:r>
      <w:r w:rsidR="006F318D" w:rsidRPr="00A73C45">
        <w:rPr>
          <w:lang w:val="en-CA"/>
        </w:rPr>
        <w:t>n cerebr</w:t>
      </w:r>
      <w:r w:rsidR="002A4FE0" w:rsidRPr="00A73C45">
        <w:rPr>
          <w:lang w:val="en-CA"/>
        </w:rPr>
        <w:t>o</w:t>
      </w:r>
      <w:r w:rsidR="006F318D" w:rsidRPr="00A73C45">
        <w:rPr>
          <w:lang w:val="en-CA"/>
        </w:rPr>
        <w:t>spinal fluid obtained within 7 days of randomization and results on blood obtained within 2 days of randomization may be applied to meet inclusion/exclusion criteria.</w:t>
      </w:r>
    </w:p>
    <w:p w:rsidR="00484725" w:rsidRPr="00A73C45" w:rsidRDefault="00334066" w:rsidP="00F46C98">
      <w:pPr>
        <w:pStyle w:val="NormalIndent"/>
        <w:ind w:left="0"/>
        <w:rPr>
          <w:lang w:val="en-CA"/>
        </w:rPr>
      </w:pPr>
      <w:r w:rsidRPr="00A73C45">
        <w:rPr>
          <w:lang w:val="en-CA"/>
        </w:rPr>
        <w:t>A screening log will be kept on the ward, with a record of all patients screened and how they met/did not meet the study entry and exclusion criteria.</w:t>
      </w:r>
      <w:r w:rsidR="00D34327" w:rsidRPr="00A73C45">
        <w:rPr>
          <w:lang w:val="en-CA"/>
        </w:rPr>
        <w:t xml:space="preserve">  Patients who do not meet the study criteria will be informed as such and treated as per best available clinical care.</w:t>
      </w:r>
      <w:r w:rsidRPr="00A73C45">
        <w:rPr>
          <w:lang w:val="en-CA"/>
        </w:rPr>
        <w:t xml:space="preserve"> </w:t>
      </w:r>
    </w:p>
    <w:p w:rsidR="00484725" w:rsidRPr="00A73C45" w:rsidRDefault="00484725" w:rsidP="00484725">
      <w:pPr>
        <w:pStyle w:val="NormalIndent"/>
        <w:rPr>
          <w:lang w:val="en-CA"/>
        </w:rPr>
      </w:pPr>
    </w:p>
    <w:p w:rsidR="00F84AE3" w:rsidRPr="00A73C45" w:rsidRDefault="00F84AE3" w:rsidP="00760A3B">
      <w:pPr>
        <w:pStyle w:val="Heading3"/>
        <w:rPr>
          <w:lang w:val="en-CA"/>
        </w:rPr>
      </w:pPr>
      <w:bookmarkStart w:id="49" w:name="_Toc387306488"/>
      <w:r w:rsidRPr="00A73C45">
        <w:rPr>
          <w:lang w:val="en-CA"/>
        </w:rPr>
        <w:lastRenderedPageBreak/>
        <w:t>Baseline Assessments</w:t>
      </w:r>
      <w:bookmarkEnd w:id="49"/>
    </w:p>
    <w:p w:rsidR="00484725" w:rsidRPr="00A73C45" w:rsidRDefault="00D34327" w:rsidP="00F46C98">
      <w:pPr>
        <w:pStyle w:val="NormalIndent"/>
        <w:ind w:left="0"/>
        <w:rPr>
          <w:lang w:val="en-CA"/>
        </w:rPr>
      </w:pPr>
      <w:r w:rsidRPr="00A73C45">
        <w:rPr>
          <w:lang w:val="en-CA"/>
        </w:rPr>
        <w:t>Eligible p</w:t>
      </w:r>
      <w:r w:rsidR="00500454" w:rsidRPr="00A73C45">
        <w:rPr>
          <w:lang w:val="en-CA"/>
        </w:rPr>
        <w:t xml:space="preserve">atients will be carefully assessed clinically at baseline, with special attention paid to the duration of illness, Glasgow coma score, and focal neurological deficit. The results of all diagnostic lumbar punctures </w:t>
      </w:r>
      <w:r w:rsidRPr="00A73C45">
        <w:rPr>
          <w:lang w:val="en-CA"/>
        </w:rPr>
        <w:t xml:space="preserve">and relevant tests </w:t>
      </w:r>
      <w:r w:rsidR="00500454" w:rsidRPr="00A73C45">
        <w:rPr>
          <w:lang w:val="en-CA"/>
        </w:rPr>
        <w:t>will be recorded. MRI brain should be performed as soon as possible a</w:t>
      </w:r>
      <w:r w:rsidR="00247077" w:rsidRPr="00A73C45">
        <w:rPr>
          <w:lang w:val="en-CA"/>
        </w:rPr>
        <w:t xml:space="preserve">nd within 5 days of </w:t>
      </w:r>
      <w:r w:rsidR="00500454" w:rsidRPr="00A73C45">
        <w:rPr>
          <w:lang w:val="en-CA"/>
        </w:rPr>
        <w:t>randomisation</w:t>
      </w:r>
      <w:r w:rsidR="00247077" w:rsidRPr="00A73C45">
        <w:rPr>
          <w:lang w:val="en-CA"/>
        </w:rPr>
        <w:t xml:space="preserve"> if not previously performed within the 5 days prior to randomisation.</w:t>
      </w:r>
    </w:p>
    <w:p w:rsidR="000558C9" w:rsidRPr="00A73C45" w:rsidRDefault="000558C9" w:rsidP="00F46C98">
      <w:pPr>
        <w:pStyle w:val="NormalIndent"/>
        <w:ind w:left="0"/>
        <w:rPr>
          <w:lang w:val="en-CA"/>
        </w:rPr>
      </w:pPr>
      <w:r w:rsidRPr="00A73C45">
        <w:rPr>
          <w:lang w:val="en-CA"/>
        </w:rPr>
        <w:t>Blood (5mls) will be taken from all patients and</w:t>
      </w:r>
      <w:r w:rsidR="00466756">
        <w:rPr>
          <w:lang w:val="en-CA"/>
        </w:rPr>
        <w:t xml:space="preserve"> </w:t>
      </w:r>
      <w:r w:rsidRPr="00A73C45">
        <w:rPr>
          <w:lang w:val="en-CA"/>
        </w:rPr>
        <w:t xml:space="preserve">stored for later testing of host genetic polymorphisms which may influence disease pathogenesis and response to treatment, including LTA4H. </w:t>
      </w:r>
      <w:r w:rsidR="00F24FEC" w:rsidRPr="00AE4329">
        <w:rPr>
          <w:lang w:val="en-CA"/>
        </w:rPr>
        <w:t>Patients will have 20mls heparinised blood taken at baseline for isolation of peripheral blood mononuclear cells and the subsequent assessment of the antimicrobial activity of the monocytes/macrophages</w:t>
      </w:r>
      <w:r w:rsidRPr="00A73C45">
        <w:rPr>
          <w:lang w:val="en-CA"/>
        </w:rPr>
        <w:t>.</w:t>
      </w:r>
    </w:p>
    <w:p w:rsidR="00231817" w:rsidRPr="00A73C45" w:rsidRDefault="00231817" w:rsidP="00231817">
      <w:pPr>
        <w:pStyle w:val="NormalIndent"/>
        <w:ind w:left="0"/>
        <w:rPr>
          <w:lang w:val="en-CA"/>
        </w:rPr>
      </w:pPr>
      <w:r w:rsidRPr="00A73C45">
        <w:rPr>
          <w:lang w:val="en-CA"/>
        </w:rPr>
        <w:t>If the patient has not already started anti-tuberculosis drugs, the</w:t>
      </w:r>
      <w:r w:rsidR="008E08B0" w:rsidRPr="00A73C45">
        <w:rPr>
          <w:lang w:val="en-CA"/>
        </w:rPr>
        <w:t xml:space="preserve">se should be initiated </w:t>
      </w:r>
      <w:r w:rsidRPr="00A73C45">
        <w:rPr>
          <w:lang w:val="en-CA"/>
        </w:rPr>
        <w:t xml:space="preserve">immediately along with adjunctive dexamethasone (recommended for all patients with TBM). The clinical condition of the patient, together with the results of prior CSF analysis should be recorded in the clinical record form (CRF). </w:t>
      </w:r>
    </w:p>
    <w:p w:rsidR="00484725" w:rsidRPr="00A73C45" w:rsidRDefault="00484725" w:rsidP="00484725">
      <w:pPr>
        <w:pStyle w:val="NormalIndent"/>
        <w:rPr>
          <w:lang w:val="en-CA"/>
        </w:rPr>
      </w:pPr>
    </w:p>
    <w:p w:rsidR="00500454" w:rsidRPr="00A73C45" w:rsidRDefault="00F84AE3" w:rsidP="00760A3B">
      <w:pPr>
        <w:pStyle w:val="Heading3"/>
        <w:rPr>
          <w:lang w:val="en-CA"/>
        </w:rPr>
      </w:pPr>
      <w:bookmarkStart w:id="50" w:name="_Toc387306489"/>
      <w:r w:rsidRPr="00A73C45">
        <w:rPr>
          <w:lang w:val="en-CA"/>
        </w:rPr>
        <w:t>Randomisation</w:t>
      </w:r>
      <w:r w:rsidR="007C5994" w:rsidRPr="00A73C45">
        <w:rPr>
          <w:lang w:val="en-CA"/>
        </w:rPr>
        <w:t xml:space="preserve"> and Dosing</w:t>
      </w:r>
      <w:bookmarkEnd w:id="50"/>
    </w:p>
    <w:p w:rsidR="00AE3FDC" w:rsidRDefault="00DE2AE4" w:rsidP="00520862">
      <w:pPr>
        <w:pStyle w:val="NormalIndent"/>
        <w:ind w:left="0"/>
        <w:rPr>
          <w:lang w:val="en-CA"/>
        </w:rPr>
      </w:pPr>
      <w:r w:rsidRPr="00A73C45">
        <w:rPr>
          <w:lang w:val="en-CA"/>
        </w:rPr>
        <w:t xml:space="preserve">Randomisation will be </w:t>
      </w:r>
      <w:r w:rsidR="00B82E48" w:rsidRPr="00A73C45">
        <w:rPr>
          <w:lang w:val="en-CA"/>
        </w:rPr>
        <w:t xml:space="preserve">1:1:1 </w:t>
      </w:r>
      <w:r w:rsidR="00A1477E">
        <w:rPr>
          <w:lang w:val="en-CA"/>
        </w:rPr>
        <w:t xml:space="preserve">to 81mg aspirin, 1000mg aspirin and placebo, </w:t>
      </w:r>
      <w:r w:rsidR="00B82E48" w:rsidRPr="00A73C45">
        <w:rPr>
          <w:lang w:val="en-CA"/>
        </w:rPr>
        <w:t xml:space="preserve">with </w:t>
      </w:r>
      <w:r w:rsidRPr="00A73C45">
        <w:rPr>
          <w:lang w:val="en-CA"/>
        </w:rPr>
        <w:t>stratifi</w:t>
      </w:r>
      <w:r w:rsidR="00B82E48" w:rsidRPr="00A73C45">
        <w:rPr>
          <w:lang w:val="en-CA"/>
        </w:rPr>
        <w:t xml:space="preserve">cation </w:t>
      </w:r>
      <w:r w:rsidRPr="00A73C45">
        <w:rPr>
          <w:lang w:val="en-CA"/>
        </w:rPr>
        <w:t xml:space="preserve">by </w:t>
      </w:r>
      <w:r w:rsidR="00B82E48" w:rsidRPr="00A73C45">
        <w:rPr>
          <w:lang w:val="en-CA"/>
        </w:rPr>
        <w:t xml:space="preserve">MRC disease severity grade. </w:t>
      </w:r>
      <w:r w:rsidR="00F84AE3" w:rsidRPr="00A73C45">
        <w:rPr>
          <w:lang w:val="en-CA"/>
        </w:rPr>
        <w:t xml:space="preserve">Subject numbers will be </w:t>
      </w:r>
      <w:r w:rsidR="001C308B">
        <w:rPr>
          <w:lang w:val="en-CA"/>
        </w:rPr>
        <w:t xml:space="preserve">stratified and </w:t>
      </w:r>
      <w:r w:rsidR="00F84AE3" w:rsidRPr="00A73C45">
        <w:rPr>
          <w:lang w:val="en-CA"/>
        </w:rPr>
        <w:t xml:space="preserve">assigned sequentially as each subject </w:t>
      </w:r>
      <w:r w:rsidR="00676F65" w:rsidRPr="00A73C45">
        <w:rPr>
          <w:lang w:val="en-CA"/>
        </w:rPr>
        <w:t>is randomised</w:t>
      </w:r>
      <w:r w:rsidR="00F84AE3" w:rsidRPr="00A73C45">
        <w:rPr>
          <w:lang w:val="en-CA"/>
        </w:rPr>
        <w:t>.</w:t>
      </w:r>
      <w:r w:rsidR="00676F65" w:rsidRPr="00A73C45">
        <w:rPr>
          <w:lang w:val="en-CA"/>
        </w:rPr>
        <w:t xml:space="preserve">  Each patient will receive the next sequential package of </w:t>
      </w:r>
      <w:r w:rsidR="00AC5EE2" w:rsidRPr="00A73C45">
        <w:rPr>
          <w:lang w:val="en-CA"/>
        </w:rPr>
        <w:t xml:space="preserve">blinded </w:t>
      </w:r>
      <w:r w:rsidR="00676F65" w:rsidRPr="00A73C45">
        <w:rPr>
          <w:lang w:val="en-CA"/>
        </w:rPr>
        <w:t>study drugs</w:t>
      </w:r>
      <w:r w:rsidR="005F0FB9">
        <w:rPr>
          <w:lang w:val="en-CA"/>
        </w:rPr>
        <w:t xml:space="preserve"> which will be prepared in advance and available on the ward</w:t>
      </w:r>
      <w:r w:rsidR="00AC5EE2" w:rsidRPr="00A73C45">
        <w:rPr>
          <w:lang w:val="en-CA"/>
        </w:rPr>
        <w:t>.</w:t>
      </w:r>
      <w:r w:rsidR="007C5994" w:rsidRPr="00A73C45">
        <w:rPr>
          <w:lang w:val="en-CA"/>
        </w:rPr>
        <w:t xml:space="preserve">  Each treatment pack will contain two bottles of study treatment.  One bottle will contain 81mg tablets of aspirin or placebo, the second bottle will contain 500mg tablets of aspirin or placebo.  </w:t>
      </w:r>
      <w:r w:rsidR="00AE3FDC">
        <w:rPr>
          <w:lang w:val="en-CA"/>
        </w:rPr>
        <w:t>For 60 days, patients will take one 81mg tablet and two 500</w:t>
      </w:r>
      <w:r w:rsidR="007C5994" w:rsidRPr="00A73C45">
        <w:rPr>
          <w:lang w:val="en-CA"/>
        </w:rPr>
        <w:t xml:space="preserve">mg tablets.  </w:t>
      </w:r>
      <w:r w:rsidR="00AE3FDC">
        <w:rPr>
          <w:lang w:val="en-CA"/>
        </w:rPr>
        <w:t>Administration of the two daily 500mg tablets will be separated by approximately 12 hours.</w:t>
      </w:r>
    </w:p>
    <w:p w:rsidR="00AC5EE2" w:rsidRPr="00A73C45" w:rsidRDefault="007C5994" w:rsidP="00520862">
      <w:pPr>
        <w:pStyle w:val="NormalIndent"/>
        <w:ind w:left="0"/>
        <w:rPr>
          <w:lang w:val="en-CA"/>
        </w:rPr>
      </w:pPr>
      <w:r w:rsidRPr="00A73C45">
        <w:rPr>
          <w:lang w:val="en-CA"/>
        </w:rPr>
        <w:t xml:space="preserve">The first dose </w:t>
      </w:r>
      <w:r w:rsidR="00AE3FDC">
        <w:rPr>
          <w:lang w:val="en-CA"/>
        </w:rPr>
        <w:t xml:space="preserve">of one 81mg tablet and one 500mg tablet </w:t>
      </w:r>
      <w:r w:rsidRPr="00A73C45">
        <w:rPr>
          <w:lang w:val="en-CA"/>
        </w:rPr>
        <w:t>will be given as soon as possible after randomisation.</w:t>
      </w:r>
      <w:r w:rsidR="00AE3FDC">
        <w:rPr>
          <w:lang w:val="en-CA"/>
        </w:rPr>
        <w:t xml:space="preserve">  One 500mg tablet will be taken approximately 12 hours later</w:t>
      </w:r>
      <w:r w:rsidR="0008731B">
        <w:rPr>
          <w:lang w:val="en-CA"/>
        </w:rPr>
        <w:t xml:space="preserve">.  </w:t>
      </w:r>
      <w:r w:rsidR="00D63F8A">
        <w:rPr>
          <w:lang w:val="en-CA"/>
        </w:rPr>
        <w:t>In the case of the first dose being taken late in the day on study day one</w:t>
      </w:r>
      <w:r w:rsidR="0008731B">
        <w:rPr>
          <w:lang w:val="en-CA"/>
        </w:rPr>
        <w:t xml:space="preserve">, the </w:t>
      </w:r>
      <w:r w:rsidR="00D63F8A">
        <w:rPr>
          <w:lang w:val="en-CA"/>
        </w:rPr>
        <w:t>second dose</w:t>
      </w:r>
      <w:r w:rsidR="0008731B">
        <w:rPr>
          <w:lang w:val="en-CA"/>
        </w:rPr>
        <w:t xml:space="preserve"> may be given over a shorter time period to ensure the full dose </w:t>
      </w:r>
      <w:r w:rsidR="00D63F8A">
        <w:rPr>
          <w:lang w:val="en-CA"/>
        </w:rPr>
        <w:t xml:space="preserve">is administered </w:t>
      </w:r>
      <w:r w:rsidR="0008731B">
        <w:rPr>
          <w:lang w:val="en-CA"/>
        </w:rPr>
        <w:t>on the first day</w:t>
      </w:r>
      <w:r w:rsidR="00AE3FDC">
        <w:rPr>
          <w:lang w:val="en-CA"/>
        </w:rPr>
        <w:t>.</w:t>
      </w:r>
      <w:r w:rsidRPr="00A73C45">
        <w:rPr>
          <w:lang w:val="en-CA"/>
        </w:rPr>
        <w:t xml:space="preserve">  </w:t>
      </w:r>
      <w:r w:rsidR="00AC5EE2" w:rsidRPr="00A73C45">
        <w:rPr>
          <w:lang w:val="en-CA"/>
        </w:rPr>
        <w:t xml:space="preserve">  </w:t>
      </w:r>
    </w:p>
    <w:p w:rsidR="00484725" w:rsidRDefault="00AC5EE2" w:rsidP="00520862">
      <w:pPr>
        <w:pStyle w:val="NormalIndent"/>
        <w:ind w:left="0"/>
        <w:rPr>
          <w:lang w:val="en-CA"/>
        </w:rPr>
      </w:pPr>
      <w:r w:rsidRPr="00A73C45">
        <w:rPr>
          <w:lang w:val="en-CA"/>
        </w:rPr>
        <w:t>Patients will take medication orally with water if required.  Patients unable to swallow will be given crushed tablets via a naso-gastric tube at the same doses.</w:t>
      </w:r>
    </w:p>
    <w:p w:rsidR="00BD1A60" w:rsidRPr="00A73C45" w:rsidRDefault="00BD1A60" w:rsidP="00520862">
      <w:pPr>
        <w:pStyle w:val="NormalIndent"/>
        <w:ind w:left="0"/>
        <w:rPr>
          <w:lang w:val="en-CA"/>
        </w:rPr>
      </w:pPr>
      <w:r>
        <w:rPr>
          <w:lang w:val="en-CA"/>
        </w:rPr>
        <w:t>Patients who vomit within 30 minutes of dosing will be given a replacement dose.</w:t>
      </w:r>
    </w:p>
    <w:p w:rsidR="003A4A48" w:rsidRPr="00A73C45" w:rsidRDefault="003A4A48" w:rsidP="00520862">
      <w:pPr>
        <w:pStyle w:val="NormalIndent"/>
        <w:ind w:left="0"/>
        <w:rPr>
          <w:lang w:val="en-CA"/>
        </w:rPr>
      </w:pPr>
    </w:p>
    <w:p w:rsidR="00F84AE3" w:rsidRPr="00A73C45" w:rsidRDefault="00CC3F8D" w:rsidP="00760A3B">
      <w:pPr>
        <w:pStyle w:val="Heading3"/>
        <w:rPr>
          <w:lang w:val="en-CA"/>
        </w:rPr>
      </w:pPr>
      <w:bookmarkStart w:id="51" w:name="_Toc387306490"/>
      <w:bookmarkStart w:id="52" w:name="_Toc531243784"/>
      <w:r>
        <w:rPr>
          <w:lang w:val="en-CA"/>
        </w:rPr>
        <w:t>Subsequent A</w:t>
      </w:r>
      <w:r w:rsidR="00F84AE3" w:rsidRPr="00A73C45">
        <w:rPr>
          <w:lang w:val="en-CA"/>
        </w:rPr>
        <w:t>ssessments</w:t>
      </w:r>
      <w:bookmarkEnd w:id="51"/>
    </w:p>
    <w:p w:rsidR="008E08B0" w:rsidRPr="00A73C45" w:rsidRDefault="008E08B0" w:rsidP="00231817">
      <w:pPr>
        <w:pStyle w:val="NormalIndent"/>
        <w:ind w:left="0"/>
        <w:rPr>
          <w:lang w:val="en-CA"/>
        </w:rPr>
      </w:pPr>
      <w:r w:rsidRPr="00A73C45">
        <w:rPr>
          <w:lang w:val="en-CA"/>
        </w:rPr>
        <w:t>The outline of s</w:t>
      </w:r>
      <w:r w:rsidR="004C59FE">
        <w:rPr>
          <w:lang w:val="en-CA"/>
        </w:rPr>
        <w:t>tudy</w:t>
      </w:r>
      <w:r w:rsidRPr="00A73C45">
        <w:rPr>
          <w:lang w:val="en-CA"/>
        </w:rPr>
        <w:t xml:space="preserve"> assessments </w:t>
      </w:r>
      <w:r w:rsidR="004C59FE">
        <w:rPr>
          <w:lang w:val="en-CA"/>
        </w:rPr>
        <w:t>is</w:t>
      </w:r>
      <w:r w:rsidRPr="00A73C45">
        <w:rPr>
          <w:lang w:val="en-CA"/>
        </w:rPr>
        <w:t xml:space="preserve"> provided in appendix B. </w:t>
      </w:r>
    </w:p>
    <w:p w:rsidR="008E08B0" w:rsidRPr="00A73C45" w:rsidRDefault="007C5994" w:rsidP="00231817">
      <w:pPr>
        <w:pStyle w:val="NormalIndent"/>
        <w:ind w:left="0"/>
        <w:rPr>
          <w:lang w:val="en-CA"/>
        </w:rPr>
      </w:pPr>
      <w:r w:rsidRPr="00A73C45">
        <w:rPr>
          <w:lang w:val="en-CA"/>
        </w:rPr>
        <w:lastRenderedPageBreak/>
        <w:t>Follow-up c</w:t>
      </w:r>
      <w:r w:rsidR="00231817" w:rsidRPr="00A73C45">
        <w:rPr>
          <w:lang w:val="en-CA"/>
        </w:rPr>
        <w:t>linical assessments should be made weekly until discharg</w:t>
      </w:r>
      <w:r w:rsidR="004C59FE">
        <w:rPr>
          <w:lang w:val="en-CA"/>
        </w:rPr>
        <w:t>e from hospital</w:t>
      </w:r>
      <w:r w:rsidR="00231817" w:rsidRPr="00A73C45">
        <w:rPr>
          <w:lang w:val="en-CA"/>
        </w:rPr>
        <w:t xml:space="preserve">. The assessments will include careful neurological examination and proactive surveillance for symptoms and signs of aspirin toxicity/adverse reactions (e.g. gastritis, tinnitus, gastrointestinal bleeding, renal impairment). </w:t>
      </w:r>
      <w:r w:rsidR="008E08B0" w:rsidRPr="00A73C45">
        <w:rPr>
          <w:lang w:val="en-CA"/>
        </w:rPr>
        <w:t xml:space="preserve">All adverse </w:t>
      </w:r>
      <w:r w:rsidR="00D63F8A">
        <w:rPr>
          <w:lang w:val="en-CA"/>
        </w:rPr>
        <w:t xml:space="preserve">events </w:t>
      </w:r>
      <w:r w:rsidR="004C59FE">
        <w:rPr>
          <w:lang w:val="en-CA"/>
        </w:rPr>
        <w:t xml:space="preserve">will be documented, followed and </w:t>
      </w:r>
      <w:r w:rsidR="008E08B0" w:rsidRPr="00A73C45">
        <w:rPr>
          <w:lang w:val="en-CA"/>
        </w:rPr>
        <w:t xml:space="preserve">assessed for the likelihood of being related to aspirin. </w:t>
      </w:r>
    </w:p>
    <w:p w:rsidR="00231817" w:rsidRPr="00013F22" w:rsidRDefault="00231817" w:rsidP="00231817">
      <w:pPr>
        <w:pStyle w:val="NormalIndent"/>
        <w:ind w:left="0"/>
        <w:rPr>
          <w:rFonts w:cs="Arial"/>
          <w:lang w:val="en-CA"/>
        </w:rPr>
      </w:pPr>
      <w:r w:rsidRPr="00A73C45">
        <w:rPr>
          <w:lang w:val="en-CA"/>
        </w:rPr>
        <w:t>A full blood count, and measurement of plasma urea, creatinine</w:t>
      </w:r>
      <w:r w:rsidR="008E15AA">
        <w:rPr>
          <w:lang w:val="en-CA"/>
        </w:rPr>
        <w:t>,</w:t>
      </w:r>
      <w:r w:rsidRPr="00A73C45">
        <w:rPr>
          <w:lang w:val="en-CA"/>
        </w:rPr>
        <w:t xml:space="preserve"> electrolytes</w:t>
      </w:r>
      <w:r w:rsidR="008E15AA">
        <w:rPr>
          <w:lang w:val="en-CA"/>
        </w:rPr>
        <w:t xml:space="preserve"> and stool microscopy for red blood cells</w:t>
      </w:r>
      <w:r w:rsidRPr="00A73C45">
        <w:rPr>
          <w:lang w:val="en-CA"/>
        </w:rPr>
        <w:t xml:space="preserve"> will be taken </w:t>
      </w:r>
      <w:r w:rsidR="007C5994" w:rsidRPr="00A73C45">
        <w:rPr>
          <w:lang w:val="en-CA"/>
        </w:rPr>
        <w:t>on each clinical assessment day</w:t>
      </w:r>
      <w:r w:rsidR="00FC62A4">
        <w:rPr>
          <w:lang w:val="en-CA"/>
        </w:rPr>
        <w:t xml:space="preserve">, day 30 and day 60 </w:t>
      </w:r>
      <w:r w:rsidRPr="00A73C45">
        <w:rPr>
          <w:lang w:val="en-CA"/>
        </w:rPr>
        <w:t>(5mls EDTA</w:t>
      </w:r>
      <w:r w:rsidR="004C59FE">
        <w:rPr>
          <w:lang w:val="en-CA"/>
        </w:rPr>
        <w:t xml:space="preserve"> blood; 5mls clotted blood)</w:t>
      </w:r>
      <w:r w:rsidRPr="00A73C45">
        <w:rPr>
          <w:lang w:val="en-CA"/>
        </w:rPr>
        <w:t xml:space="preserve">. </w:t>
      </w:r>
      <w:r w:rsidR="008F5E3F" w:rsidRPr="00A73C45">
        <w:rPr>
          <w:lang w:val="en-CA"/>
        </w:rPr>
        <w:t>P</w:t>
      </w:r>
      <w:r w:rsidRPr="00A73C45">
        <w:rPr>
          <w:lang w:val="en-CA"/>
        </w:rPr>
        <w:t xml:space="preserve">atients will have </w:t>
      </w:r>
      <w:r w:rsidR="00F24FEC" w:rsidRPr="00AE4329">
        <w:rPr>
          <w:lang w:val="en-CA"/>
        </w:rPr>
        <w:t xml:space="preserve">20mls of heparinised blood taken at day </w:t>
      </w:r>
      <w:r w:rsidR="003273CE">
        <w:rPr>
          <w:lang w:val="en-CA"/>
        </w:rPr>
        <w:t>240</w:t>
      </w:r>
      <w:r w:rsidR="00F24FEC" w:rsidRPr="00AE4329">
        <w:rPr>
          <w:lang w:val="en-CA"/>
        </w:rPr>
        <w:t xml:space="preserve"> for </w:t>
      </w:r>
      <w:r w:rsidR="00F24FEC" w:rsidRPr="00AE4329">
        <w:rPr>
          <w:rFonts w:cs="Arial"/>
          <w:lang w:val="en-CA"/>
        </w:rPr>
        <w:t>assessment of the antimicrobial activity of peripheral blood monocytes/macrophage</w:t>
      </w:r>
      <w:r w:rsidRPr="00013F22">
        <w:rPr>
          <w:rFonts w:cs="Arial"/>
          <w:lang w:val="en-CA"/>
        </w:rPr>
        <w:t>s.</w:t>
      </w:r>
      <w:r w:rsidR="00D63F8A" w:rsidRPr="00013F22">
        <w:rPr>
          <w:rFonts w:cs="Arial"/>
          <w:lang w:val="en-CA"/>
        </w:rPr>
        <w:t xml:space="preserve"> </w:t>
      </w:r>
      <w:r w:rsidR="00E96D90">
        <w:rPr>
          <w:rFonts w:cs="Arial"/>
          <w:lang w:val="en-US"/>
        </w:rPr>
        <w:t>Whole blood (2ml</w:t>
      </w:r>
      <w:r w:rsidR="00D63F8A" w:rsidRPr="00013F22">
        <w:rPr>
          <w:rFonts w:cs="Arial"/>
          <w:lang w:val="en-US"/>
        </w:rPr>
        <w:t xml:space="preserve">) will be obtained at </w:t>
      </w:r>
      <w:r w:rsidR="00E96D90">
        <w:rPr>
          <w:rFonts w:cs="Arial"/>
          <w:lang w:val="en-US"/>
        </w:rPr>
        <w:t>5</w:t>
      </w:r>
      <w:r w:rsidR="00D63F8A" w:rsidRPr="00013F22">
        <w:rPr>
          <w:rFonts w:cs="Arial"/>
          <w:lang w:val="en-US"/>
        </w:rPr>
        <w:t xml:space="preserve"> time point</w:t>
      </w:r>
      <w:r w:rsidR="00E96D90">
        <w:rPr>
          <w:rFonts w:cs="Arial"/>
          <w:lang w:val="en-US"/>
        </w:rPr>
        <w:t>s</w:t>
      </w:r>
      <w:r w:rsidR="00D63F8A" w:rsidRPr="00013F22">
        <w:rPr>
          <w:rFonts w:cs="Arial"/>
          <w:lang w:val="en-US"/>
        </w:rPr>
        <w:t xml:space="preserve"> during the first 14 days of study treatment </w:t>
      </w:r>
      <w:r w:rsidR="00013F22" w:rsidRPr="00013F22">
        <w:rPr>
          <w:rFonts w:cs="Arial"/>
          <w:lang w:val="en-US"/>
        </w:rPr>
        <w:t xml:space="preserve">and </w:t>
      </w:r>
      <w:r w:rsidR="00D63F8A" w:rsidRPr="00013F22">
        <w:rPr>
          <w:rFonts w:cs="Arial"/>
          <w:lang w:val="en-US"/>
        </w:rPr>
        <w:t>analys</w:t>
      </w:r>
      <w:r w:rsidR="00013F22" w:rsidRPr="00013F22">
        <w:rPr>
          <w:rFonts w:cs="Arial"/>
          <w:lang w:val="en-US"/>
        </w:rPr>
        <w:t>ed</w:t>
      </w:r>
      <w:r w:rsidR="00D63F8A" w:rsidRPr="00013F22">
        <w:rPr>
          <w:rFonts w:cs="Arial"/>
          <w:lang w:val="en-US"/>
        </w:rPr>
        <w:t xml:space="preserve"> </w:t>
      </w:r>
      <w:r w:rsidR="00013F22">
        <w:rPr>
          <w:rFonts w:cs="Arial"/>
          <w:lang w:val="en-US"/>
        </w:rPr>
        <w:t>to</w:t>
      </w:r>
      <w:r w:rsidR="00013F22" w:rsidRPr="00013F22">
        <w:rPr>
          <w:rFonts w:cs="Arial"/>
          <w:lang w:val="en-US"/>
        </w:rPr>
        <w:t xml:space="preserve"> </w:t>
      </w:r>
      <w:r w:rsidR="00D63F8A" w:rsidRPr="00013F22">
        <w:rPr>
          <w:rFonts w:cs="Arial"/>
          <w:lang w:val="en-US"/>
        </w:rPr>
        <w:t>assess</w:t>
      </w:r>
      <w:r w:rsidR="00013F22" w:rsidRPr="00013F22">
        <w:rPr>
          <w:rFonts w:cs="Arial"/>
          <w:lang w:val="en-US"/>
        </w:rPr>
        <w:t xml:space="preserve"> </w:t>
      </w:r>
      <w:r w:rsidR="00013F22">
        <w:rPr>
          <w:rFonts w:cs="Arial"/>
          <w:lang w:val="en-US"/>
        </w:rPr>
        <w:t>the</w:t>
      </w:r>
      <w:r w:rsidR="00D63F8A" w:rsidRPr="00013F22">
        <w:rPr>
          <w:rFonts w:cs="Arial"/>
          <w:lang w:val="en-US"/>
        </w:rPr>
        <w:t xml:space="preserve"> pharmacokinet</w:t>
      </w:r>
      <w:r w:rsidR="00013F22">
        <w:rPr>
          <w:rFonts w:cs="Arial"/>
          <w:lang w:val="en-US"/>
        </w:rPr>
        <w:t>ic characteristics of aspirin</w:t>
      </w:r>
      <w:r w:rsidR="00D63F8A" w:rsidRPr="00013F22">
        <w:rPr>
          <w:rFonts w:cs="Arial"/>
          <w:lang w:val="en-US"/>
        </w:rPr>
        <w:t>.  </w:t>
      </w:r>
      <w:r w:rsidR="00E96D90">
        <w:rPr>
          <w:rFonts w:cs="Arial"/>
          <w:lang w:val="en-US"/>
        </w:rPr>
        <w:t>Time points will be randomly assigned to a range of periods after drug dosing</w:t>
      </w:r>
      <w:r w:rsidR="00BE7849">
        <w:rPr>
          <w:rFonts w:cs="Arial"/>
          <w:lang w:val="en-US"/>
        </w:rPr>
        <w:t>.</w:t>
      </w:r>
      <w:r w:rsidR="00E96D90">
        <w:rPr>
          <w:rFonts w:cs="Arial"/>
          <w:lang w:val="en-US"/>
        </w:rPr>
        <w:t xml:space="preserve"> </w:t>
      </w:r>
      <w:r w:rsidR="00BE7849">
        <w:rPr>
          <w:rFonts w:cs="Arial"/>
          <w:lang w:val="en-US"/>
        </w:rPr>
        <w:t xml:space="preserve">A </w:t>
      </w:r>
      <w:r w:rsidR="00BE7849">
        <w:rPr>
          <w:lang w:val="en-CA"/>
        </w:rPr>
        <w:t xml:space="preserve">concentration-time profile of </w:t>
      </w:r>
      <w:r w:rsidR="00BE7849">
        <w:rPr>
          <w:rFonts w:cs="Arial"/>
          <w:lang w:val="en-US"/>
        </w:rPr>
        <w:t>s</w:t>
      </w:r>
      <w:r w:rsidR="00BE7849" w:rsidRPr="00013F22">
        <w:rPr>
          <w:rFonts w:cs="Arial"/>
          <w:lang w:val="en-US"/>
        </w:rPr>
        <w:t xml:space="preserve">alicylic acid </w:t>
      </w:r>
      <w:r w:rsidR="00BE7849">
        <w:rPr>
          <w:lang w:val="en-CA"/>
        </w:rPr>
        <w:t>including exposure, peak levels, half-life, elimination clearance and volume distribution</w:t>
      </w:r>
      <w:r w:rsidR="00BE7849" w:rsidRPr="00013F22">
        <w:rPr>
          <w:rFonts w:cs="Arial"/>
          <w:lang w:val="en-US"/>
        </w:rPr>
        <w:t xml:space="preserve"> </w:t>
      </w:r>
      <w:r w:rsidR="00D63F8A" w:rsidRPr="00013F22">
        <w:rPr>
          <w:rFonts w:cs="Arial"/>
          <w:lang w:val="en-US"/>
        </w:rPr>
        <w:t xml:space="preserve">will be </w:t>
      </w:r>
      <w:r w:rsidR="00BE7849">
        <w:rPr>
          <w:rFonts w:cs="Arial"/>
          <w:lang w:val="en-US"/>
        </w:rPr>
        <w:t>analysed.</w:t>
      </w:r>
      <w:r w:rsidR="003113A3">
        <w:rPr>
          <w:rFonts w:cs="Arial"/>
          <w:lang w:val="en-US"/>
        </w:rPr>
        <w:t xml:space="preserve"> </w:t>
      </w:r>
    </w:p>
    <w:p w:rsidR="00231817" w:rsidRPr="00A73C45" w:rsidRDefault="00231817" w:rsidP="00231817">
      <w:pPr>
        <w:pStyle w:val="NormalIndent"/>
        <w:ind w:left="0"/>
        <w:rPr>
          <w:lang w:val="en-CA"/>
        </w:rPr>
      </w:pPr>
      <w:r w:rsidRPr="00BD1A60">
        <w:rPr>
          <w:rFonts w:cs="Arial"/>
          <w:lang w:val="en-CA"/>
        </w:rPr>
        <w:t>Patients will have lumbar punctures on days 30 and 60,</w:t>
      </w:r>
      <w:r w:rsidRPr="00A73C45">
        <w:rPr>
          <w:lang w:val="en-CA"/>
        </w:rPr>
        <w:t xml:space="preserve"> as per normal clinical care of patients with TBM in the hospital. 10mls of CSF should be taken when possible (as per normal care) and standard biochemical and microbiological tests performed (including mycobacterial smear and culture and </w:t>
      </w:r>
      <w:r w:rsidR="008F5E3F" w:rsidRPr="00A73C45">
        <w:rPr>
          <w:lang w:val="en-CA"/>
        </w:rPr>
        <w:t>Gene</w:t>
      </w:r>
      <w:r w:rsidRPr="00A73C45">
        <w:rPr>
          <w:lang w:val="en-CA"/>
        </w:rPr>
        <w:t>Xpert MTB/RIF</w:t>
      </w:r>
      <w:r w:rsidR="007A1B1D">
        <w:rPr>
          <w:lang w:val="en-CA"/>
        </w:rPr>
        <w:t xml:space="preserve"> </w:t>
      </w:r>
      <w:r w:rsidR="007A1B1D" w:rsidRPr="00A73C45">
        <w:rPr>
          <w:lang w:val="en-CA"/>
        </w:rPr>
        <w:t>on all specimens</w:t>
      </w:r>
      <w:r w:rsidR="007A1B1D">
        <w:rPr>
          <w:lang w:val="en-CA"/>
        </w:rPr>
        <w:t xml:space="preserve"> collected during the study period</w:t>
      </w:r>
      <w:r w:rsidR="00575079" w:rsidRPr="00A73C45">
        <w:rPr>
          <w:lang w:val="en-CA"/>
        </w:rPr>
        <w:t>)</w:t>
      </w:r>
      <w:r w:rsidRPr="00A73C45">
        <w:rPr>
          <w:lang w:val="en-CA"/>
        </w:rPr>
        <w:t>. The CSF supernatant should be stored immediately at -80</w:t>
      </w:r>
      <w:r w:rsidRPr="00A73C45">
        <w:rPr>
          <w:vertAlign w:val="superscript"/>
          <w:lang w:val="en-CA"/>
        </w:rPr>
        <w:t>0</w:t>
      </w:r>
      <w:r w:rsidRPr="00A73C45">
        <w:rPr>
          <w:lang w:val="en-CA"/>
        </w:rPr>
        <w:t>C for later analysis of cytokine and eicosanoid concentrations.</w:t>
      </w:r>
    </w:p>
    <w:p w:rsidR="00231817" w:rsidRPr="00A73C45" w:rsidRDefault="008E08B0" w:rsidP="00231817">
      <w:pPr>
        <w:pStyle w:val="NormalIndent"/>
        <w:ind w:left="0"/>
        <w:rPr>
          <w:lang w:val="en-CA"/>
        </w:rPr>
      </w:pPr>
      <w:r w:rsidRPr="00A73C45">
        <w:rPr>
          <w:lang w:val="en-CA"/>
        </w:rPr>
        <w:t>A full clinical examination, brain MRI and neurological disability assess</w:t>
      </w:r>
      <w:r w:rsidR="00575079" w:rsidRPr="00A73C45">
        <w:rPr>
          <w:lang w:val="en-CA"/>
        </w:rPr>
        <w:t>ment</w:t>
      </w:r>
      <w:r w:rsidRPr="00A73C45">
        <w:rPr>
          <w:lang w:val="en-CA"/>
        </w:rPr>
        <w:t xml:space="preserve"> by the Glasgow coma score and the Modified Rankin score </w:t>
      </w:r>
      <w:r w:rsidR="00575079" w:rsidRPr="00A73C45">
        <w:rPr>
          <w:lang w:val="en-CA"/>
        </w:rPr>
        <w:t xml:space="preserve">will performed </w:t>
      </w:r>
      <w:r w:rsidRPr="00A73C45">
        <w:rPr>
          <w:lang w:val="en-CA"/>
        </w:rPr>
        <w:t>on days 60 and</w:t>
      </w:r>
      <w:r w:rsidR="006B5C0C">
        <w:rPr>
          <w:lang w:val="en-CA"/>
        </w:rPr>
        <w:t xml:space="preserve"> 240</w:t>
      </w:r>
      <w:r w:rsidRPr="00A73C45">
        <w:rPr>
          <w:lang w:val="en-CA"/>
        </w:rPr>
        <w:t xml:space="preserve">. </w:t>
      </w:r>
    </w:p>
    <w:p w:rsidR="00231817" w:rsidRPr="00A73C45" w:rsidRDefault="00231817" w:rsidP="00231817">
      <w:pPr>
        <w:pStyle w:val="NormalIndent"/>
        <w:ind w:left="0"/>
        <w:rPr>
          <w:lang w:val="en-CA"/>
        </w:rPr>
      </w:pPr>
      <w:r w:rsidRPr="00A73C45">
        <w:rPr>
          <w:lang w:val="en-CA"/>
        </w:rPr>
        <w:t xml:space="preserve">Window periods for all study procedures will be: +/- 2 days for any procedure scheduled for day  7, 14, 21, 28; +/- 5 days for any procedure scheduled on day 30 – 60; and +/- 14 days for any procedure scheduled for day </w:t>
      </w:r>
      <w:r w:rsidR="001C211A">
        <w:rPr>
          <w:lang w:val="en-CA"/>
        </w:rPr>
        <w:t>240</w:t>
      </w:r>
      <w:r w:rsidRPr="00A73C45">
        <w:rPr>
          <w:lang w:val="en-CA"/>
        </w:rPr>
        <w:t>.  Screening, enrolment and day 1 schedule windows are as detailed in the appropriate sections</w:t>
      </w:r>
      <w:r w:rsidR="004C59FE">
        <w:rPr>
          <w:lang w:val="en-CA"/>
        </w:rPr>
        <w:t xml:space="preserve"> of this document</w:t>
      </w:r>
      <w:r w:rsidRPr="00A73C45">
        <w:rPr>
          <w:lang w:val="en-CA"/>
        </w:rPr>
        <w:t>.</w:t>
      </w:r>
    </w:p>
    <w:p w:rsidR="00500454" w:rsidRPr="00A73C45" w:rsidRDefault="00500454" w:rsidP="00F46C98">
      <w:pPr>
        <w:pStyle w:val="NormalIndent"/>
        <w:ind w:left="0"/>
        <w:rPr>
          <w:lang w:val="en-CA"/>
        </w:rPr>
      </w:pPr>
    </w:p>
    <w:p w:rsidR="00500454" w:rsidRPr="00A73C45" w:rsidRDefault="00130DD2" w:rsidP="00F46C98">
      <w:pPr>
        <w:pStyle w:val="NormalIndent"/>
        <w:ind w:left="0"/>
        <w:rPr>
          <w:lang w:val="en-CA"/>
        </w:rPr>
      </w:pPr>
      <w:r w:rsidRPr="00A73C45">
        <w:rPr>
          <w:lang w:val="en-CA"/>
        </w:rPr>
        <w:t xml:space="preserve">Published diagnostic criteria will be applied to all enrolled patients at discharge or death, and when all mycobacterial culture results are available (see appendix C). The criteria </w:t>
      </w:r>
      <w:r w:rsidR="003F4054" w:rsidRPr="00A73C45">
        <w:rPr>
          <w:lang w:val="en-CA"/>
        </w:rPr>
        <w:t xml:space="preserve">will </w:t>
      </w:r>
      <w:r w:rsidRPr="00A73C45">
        <w:rPr>
          <w:lang w:val="en-CA"/>
        </w:rPr>
        <w:t>sub-divide all case</w:t>
      </w:r>
      <w:r w:rsidR="00C61291" w:rsidRPr="00A73C45">
        <w:rPr>
          <w:lang w:val="en-CA"/>
        </w:rPr>
        <w:t>s</w:t>
      </w:r>
      <w:r w:rsidRPr="00A73C45">
        <w:rPr>
          <w:lang w:val="en-CA"/>
        </w:rPr>
        <w:t xml:space="preserve"> into definite, probable and possible</w:t>
      </w:r>
      <w:r w:rsidR="00FB6682" w:rsidRPr="00A73C45">
        <w:rPr>
          <w:lang w:val="en-CA"/>
        </w:rPr>
        <w:t xml:space="preserve"> </w:t>
      </w:r>
      <w:r w:rsidR="00700B1C" w:rsidRPr="00A73C45">
        <w:rPr>
          <w:lang w:val="en-CA"/>
        </w:rPr>
        <w:t>tuberculous meningitis, and those with an alternative diagnosis.</w:t>
      </w:r>
    </w:p>
    <w:bookmarkEnd w:id="52"/>
    <w:p w:rsidR="00AD597D" w:rsidRPr="00A73C45" w:rsidRDefault="00AD597D" w:rsidP="00A7792F">
      <w:pPr>
        <w:pStyle w:val="NormalIndent"/>
        <w:ind w:left="0"/>
        <w:rPr>
          <w:lang w:val="en-CA"/>
        </w:rPr>
      </w:pPr>
    </w:p>
    <w:p w:rsidR="00F84AE3" w:rsidRPr="00A73C45" w:rsidRDefault="00A7792F" w:rsidP="003A4A48">
      <w:pPr>
        <w:pStyle w:val="Heading2"/>
        <w:rPr>
          <w:lang w:val="en-CA"/>
        </w:rPr>
      </w:pPr>
      <w:bookmarkStart w:id="53" w:name="_Toc387306491"/>
      <w:r>
        <w:rPr>
          <w:lang w:val="en-CA"/>
        </w:rPr>
        <w:t>Discontinuation of Treatment and Participation</w:t>
      </w:r>
      <w:bookmarkEnd w:id="53"/>
    </w:p>
    <w:p w:rsidR="00500454" w:rsidRPr="00A73C45" w:rsidRDefault="00500454" w:rsidP="00F46C98">
      <w:pPr>
        <w:pStyle w:val="PTBodyText"/>
        <w:spacing w:line="360" w:lineRule="auto"/>
        <w:rPr>
          <w:rStyle w:val="PTBodyTextNormal"/>
          <w:rFonts w:ascii="Arial" w:hAnsi="Arial" w:cs="Arial"/>
          <w:lang w:val="en-CA"/>
        </w:rPr>
      </w:pPr>
      <w:r w:rsidRPr="00A73C45">
        <w:rPr>
          <w:rStyle w:val="PTBodyTextNormal"/>
          <w:rFonts w:ascii="Arial" w:hAnsi="Arial" w:cs="Arial"/>
          <w:lang w:val="en-CA"/>
        </w:rPr>
        <w:t xml:space="preserve">If a patient </w:t>
      </w:r>
      <w:r w:rsidR="000A13C7" w:rsidRPr="00A73C45">
        <w:rPr>
          <w:rStyle w:val="PTBodyTextNormal"/>
          <w:rFonts w:ascii="Arial" w:hAnsi="Arial" w:cs="Arial"/>
          <w:lang w:val="en-CA"/>
        </w:rPr>
        <w:t xml:space="preserve">or the representative who has given consent on their behalf, </w:t>
      </w:r>
      <w:r w:rsidR="00A7792F">
        <w:rPr>
          <w:rStyle w:val="PTBodyTextNormal"/>
          <w:rFonts w:ascii="Arial" w:hAnsi="Arial" w:cs="Arial"/>
          <w:lang w:val="en-CA"/>
        </w:rPr>
        <w:t>chooses to discontinue t</w:t>
      </w:r>
      <w:r w:rsidRPr="00A73C45">
        <w:rPr>
          <w:rStyle w:val="PTBodyTextNormal"/>
          <w:rFonts w:ascii="Arial" w:hAnsi="Arial" w:cs="Arial"/>
          <w:lang w:val="en-CA"/>
        </w:rPr>
        <w:t xml:space="preserve">rial treatment, they should be followed up (providing they are willing) and encouraged </w:t>
      </w:r>
      <w:r w:rsidR="00DA33CA" w:rsidRPr="00A73C45">
        <w:rPr>
          <w:rStyle w:val="PTBodyTextNormal"/>
          <w:rFonts w:ascii="Arial" w:hAnsi="Arial" w:cs="Arial"/>
          <w:lang w:val="en-CA"/>
        </w:rPr>
        <w:t>to follow the study procedures</w:t>
      </w:r>
      <w:r w:rsidR="00A7792F">
        <w:rPr>
          <w:rStyle w:val="PTBodyTextNormal"/>
          <w:rFonts w:ascii="Arial" w:hAnsi="Arial" w:cs="Arial"/>
          <w:lang w:val="en-CA"/>
        </w:rPr>
        <w:t xml:space="preserve"> </w:t>
      </w:r>
      <w:r w:rsidR="000A13C7" w:rsidRPr="00A73C45">
        <w:rPr>
          <w:rStyle w:val="PTBodyTextNormal"/>
          <w:rFonts w:ascii="Arial" w:hAnsi="Arial" w:cs="Arial"/>
          <w:lang w:val="en-CA"/>
        </w:rPr>
        <w:t>in lieu of withdrawing from</w:t>
      </w:r>
      <w:r w:rsidRPr="00A73C45">
        <w:rPr>
          <w:rStyle w:val="PTBodyTextNormal"/>
          <w:rFonts w:ascii="Arial" w:hAnsi="Arial" w:cs="Arial"/>
          <w:lang w:val="en-CA"/>
        </w:rPr>
        <w:t xml:space="preserve"> the trial. If they do not wish to remain on trial follow-up, however, their decision </w:t>
      </w:r>
      <w:r w:rsidR="00A7792F">
        <w:rPr>
          <w:rStyle w:val="PTBodyTextNormal"/>
          <w:rFonts w:ascii="Arial" w:hAnsi="Arial" w:cs="Arial"/>
          <w:lang w:val="en-CA"/>
        </w:rPr>
        <w:t>will</w:t>
      </w:r>
      <w:r w:rsidRPr="00A73C45">
        <w:rPr>
          <w:rStyle w:val="PTBodyTextNormal"/>
          <w:rFonts w:ascii="Arial" w:hAnsi="Arial" w:cs="Arial"/>
          <w:lang w:val="en-CA"/>
        </w:rPr>
        <w:t xml:space="preserve"> be respected and the patient will </w:t>
      </w:r>
      <w:r w:rsidRPr="00A73C45">
        <w:rPr>
          <w:rStyle w:val="PTBodyTextNormal"/>
          <w:rFonts w:ascii="Arial" w:hAnsi="Arial" w:cs="Arial"/>
          <w:lang w:val="en-CA"/>
        </w:rPr>
        <w:lastRenderedPageBreak/>
        <w:t>be withdrawn from the trial completely. Th</w:t>
      </w:r>
      <w:r w:rsidR="00A97C63" w:rsidRPr="00A73C45">
        <w:rPr>
          <w:rStyle w:val="PTBodyTextNormal"/>
          <w:rFonts w:ascii="Arial" w:hAnsi="Arial" w:cs="Arial"/>
          <w:lang w:val="en-CA"/>
        </w:rPr>
        <w:t xml:space="preserve">is will be recorded </w:t>
      </w:r>
      <w:r w:rsidRPr="00A73C45">
        <w:rPr>
          <w:rStyle w:val="PTBodyTextNormal"/>
          <w:rFonts w:ascii="Arial" w:hAnsi="Arial" w:cs="Arial"/>
          <w:lang w:val="en-CA"/>
        </w:rPr>
        <w:t xml:space="preserve">on the </w:t>
      </w:r>
      <w:r w:rsidR="002C342B" w:rsidRPr="00A73C45">
        <w:rPr>
          <w:rStyle w:val="PTBodyTextNormal"/>
          <w:rFonts w:ascii="Arial" w:hAnsi="Arial" w:cs="Arial"/>
          <w:lang w:val="en-CA"/>
        </w:rPr>
        <w:t>OUTCOME</w:t>
      </w:r>
      <w:r w:rsidRPr="00A73C45">
        <w:rPr>
          <w:rStyle w:val="PTBodyTextNormal"/>
          <w:rFonts w:ascii="Arial" w:hAnsi="Arial" w:cs="Arial"/>
          <w:lang w:val="en-CA"/>
        </w:rPr>
        <w:t xml:space="preserve"> CRF. The reason for the patient withdrawing should be ascertained wherever possible. </w:t>
      </w:r>
      <w:r w:rsidRPr="00A73C45">
        <w:rPr>
          <w:rFonts w:ascii="Arial" w:hAnsi="Arial" w:cs="Arial"/>
          <w:lang w:val="en-CA"/>
        </w:rPr>
        <w:t xml:space="preserve">Prior to withdrawing completely from the trial, the patient will be </w:t>
      </w:r>
      <w:r w:rsidR="000A13C7" w:rsidRPr="00A73C45">
        <w:rPr>
          <w:rFonts w:ascii="Arial" w:hAnsi="Arial" w:cs="Arial"/>
          <w:lang w:val="en-CA"/>
        </w:rPr>
        <w:t>invited</w:t>
      </w:r>
      <w:r w:rsidR="00575079" w:rsidRPr="00A73C45">
        <w:rPr>
          <w:rFonts w:ascii="Arial" w:hAnsi="Arial" w:cs="Arial"/>
          <w:lang w:val="en-CA"/>
        </w:rPr>
        <w:t xml:space="preserve"> </w:t>
      </w:r>
      <w:r w:rsidRPr="00A73C45">
        <w:rPr>
          <w:rFonts w:ascii="Arial" w:hAnsi="Arial" w:cs="Arial"/>
          <w:lang w:val="en-CA"/>
        </w:rPr>
        <w:t>to have assessments performed as appropriate for the final visit although they would be at liberty to refuse any or all individual components of the assessment.</w:t>
      </w:r>
    </w:p>
    <w:p w:rsidR="00F84AE3" w:rsidRPr="001E0C37" w:rsidRDefault="00F84AE3" w:rsidP="001E0C37">
      <w:pPr>
        <w:pStyle w:val="NormalBullet"/>
        <w:numPr>
          <w:ilvl w:val="0"/>
          <w:numId w:val="0"/>
        </w:numPr>
        <w:rPr>
          <w:lang w:val="en-CA"/>
        </w:rPr>
      </w:pPr>
      <w:r w:rsidRPr="00A73C45">
        <w:rPr>
          <w:lang w:val="en-CA"/>
        </w:rPr>
        <w:t xml:space="preserve">In addition, the investigator may discontinue </w:t>
      </w:r>
      <w:r w:rsidR="00883D19" w:rsidRPr="00A73C45">
        <w:rPr>
          <w:lang w:val="en-CA"/>
        </w:rPr>
        <w:t xml:space="preserve">the study drug at </w:t>
      </w:r>
      <w:r w:rsidRPr="00A73C45">
        <w:rPr>
          <w:lang w:val="en-CA"/>
        </w:rPr>
        <w:t>any time the investigator considers it necessary for any reason including</w:t>
      </w:r>
      <w:r w:rsidR="00A535D4">
        <w:rPr>
          <w:lang w:val="en-CA"/>
        </w:rPr>
        <w:t xml:space="preserve"> those below.  These patients will continue to be followed </w:t>
      </w:r>
      <w:r w:rsidR="001E0C37">
        <w:rPr>
          <w:lang w:val="en-CA"/>
        </w:rPr>
        <w:t>according to the study protocol.</w:t>
      </w:r>
    </w:p>
    <w:p w:rsidR="00DE70DC" w:rsidRDefault="00DE70DC" w:rsidP="00DB6DB7">
      <w:pPr>
        <w:pStyle w:val="NormalBullet"/>
        <w:rPr>
          <w:lang w:val="en-CA"/>
        </w:rPr>
      </w:pPr>
      <w:r>
        <w:rPr>
          <w:lang w:val="en-CA"/>
        </w:rPr>
        <w:t>A serious adverse event related to aspirin</w:t>
      </w:r>
    </w:p>
    <w:p w:rsidR="00F84AE3" w:rsidRPr="00A73C45" w:rsidRDefault="00F84AE3" w:rsidP="00DB6DB7">
      <w:pPr>
        <w:pStyle w:val="NormalBullet"/>
        <w:rPr>
          <w:lang w:val="en-CA"/>
        </w:rPr>
      </w:pPr>
      <w:r w:rsidRPr="00A73C45">
        <w:rPr>
          <w:lang w:val="en-CA"/>
        </w:rPr>
        <w:t>Pregnancy</w:t>
      </w:r>
    </w:p>
    <w:p w:rsidR="00F84AE3" w:rsidRPr="00A73C45" w:rsidRDefault="00F84AE3" w:rsidP="00DB6DB7">
      <w:pPr>
        <w:pStyle w:val="NormalBullet"/>
        <w:rPr>
          <w:lang w:val="en-CA"/>
        </w:rPr>
      </w:pPr>
      <w:r w:rsidRPr="00A73C45">
        <w:rPr>
          <w:lang w:val="en-CA"/>
        </w:rPr>
        <w:t>Ineligibility (either arising during the study or retrospective having been overlooked at screening</w:t>
      </w:r>
      <w:r w:rsidR="00500454" w:rsidRPr="00A73C45">
        <w:rPr>
          <w:lang w:val="en-CA"/>
        </w:rPr>
        <w:t xml:space="preserve"> e.g. an alternative diagnosis to TBM being confirmed</w:t>
      </w:r>
      <w:r w:rsidRPr="00A73C45">
        <w:rPr>
          <w:lang w:val="en-CA"/>
        </w:rPr>
        <w:t>)</w:t>
      </w:r>
    </w:p>
    <w:p w:rsidR="00F84AE3" w:rsidRPr="00A73C45" w:rsidRDefault="00F84AE3" w:rsidP="00DB6DB7">
      <w:pPr>
        <w:pStyle w:val="NormalBullet"/>
        <w:rPr>
          <w:lang w:val="en-CA"/>
        </w:rPr>
      </w:pPr>
      <w:r w:rsidRPr="00A73C45">
        <w:rPr>
          <w:lang w:val="en-CA"/>
        </w:rPr>
        <w:t xml:space="preserve">Significant protocol </w:t>
      </w:r>
      <w:r w:rsidR="00A7792F">
        <w:rPr>
          <w:lang w:val="en-CA"/>
        </w:rPr>
        <w:t>violation</w:t>
      </w:r>
    </w:p>
    <w:p w:rsidR="00F84AE3" w:rsidRPr="006446CB" w:rsidRDefault="00F84AE3" w:rsidP="00DB6DB7">
      <w:pPr>
        <w:pStyle w:val="NormalBullet"/>
        <w:rPr>
          <w:lang w:val="en-CA"/>
        </w:rPr>
      </w:pPr>
      <w:r w:rsidRPr="006446CB">
        <w:rPr>
          <w:lang w:val="en-CA"/>
        </w:rPr>
        <w:t>Significant non-compliance with treatment regimen or study requirements</w:t>
      </w:r>
    </w:p>
    <w:p w:rsidR="001E0C37" w:rsidRPr="00A73C45" w:rsidRDefault="001E0C37" w:rsidP="001E0C37">
      <w:pPr>
        <w:pStyle w:val="NormalBullet"/>
        <w:numPr>
          <w:ilvl w:val="0"/>
          <w:numId w:val="0"/>
        </w:numPr>
        <w:rPr>
          <w:lang w:val="en-CA"/>
        </w:rPr>
      </w:pPr>
    </w:p>
    <w:p w:rsidR="00F84AE3" w:rsidRPr="00A73C45" w:rsidRDefault="00A7792F">
      <w:pPr>
        <w:pStyle w:val="Heading1"/>
        <w:rPr>
          <w:lang w:val="en-CA"/>
        </w:rPr>
      </w:pPr>
      <w:bookmarkStart w:id="54" w:name="_Toc387306492"/>
      <w:r>
        <w:rPr>
          <w:lang w:val="en-CA"/>
        </w:rPr>
        <w:t xml:space="preserve">STUDY </w:t>
      </w:r>
      <w:r w:rsidR="00F84AE3" w:rsidRPr="00A73C45">
        <w:rPr>
          <w:lang w:val="en-CA"/>
        </w:rPr>
        <w:t>TREATMENT</w:t>
      </w:r>
      <w:bookmarkEnd w:id="54"/>
    </w:p>
    <w:p w:rsidR="00F84AE3" w:rsidRPr="00A73C45" w:rsidRDefault="00F84AE3" w:rsidP="003A4A48">
      <w:pPr>
        <w:pStyle w:val="Heading2"/>
        <w:rPr>
          <w:lang w:val="en-CA"/>
        </w:rPr>
      </w:pPr>
      <w:bookmarkStart w:id="55" w:name="_Toc387306493"/>
      <w:r w:rsidRPr="00A73C45">
        <w:rPr>
          <w:lang w:val="en-CA"/>
        </w:rPr>
        <w:t>Description of Study Treatment</w:t>
      </w:r>
      <w:bookmarkEnd w:id="55"/>
    </w:p>
    <w:p w:rsidR="00FE4B75" w:rsidRPr="00A73C45" w:rsidRDefault="00676F65" w:rsidP="00F46C98">
      <w:pPr>
        <w:pStyle w:val="NormalIndent"/>
        <w:ind w:left="0"/>
        <w:rPr>
          <w:lang w:val="en-CA"/>
        </w:rPr>
      </w:pPr>
      <w:r w:rsidRPr="00A73C45">
        <w:rPr>
          <w:lang w:val="en-CA"/>
        </w:rPr>
        <w:t xml:space="preserve">An independent trial pharmacist will generate a randomization list </w:t>
      </w:r>
      <w:r w:rsidR="00372310">
        <w:rPr>
          <w:lang w:val="en-CA"/>
        </w:rPr>
        <w:t xml:space="preserve">stratified by site and MRC grade, </w:t>
      </w:r>
      <w:r w:rsidRPr="00A73C45">
        <w:rPr>
          <w:lang w:val="en-CA"/>
        </w:rPr>
        <w:t>with treatment assignments in blocks of varying size.  Based on this list</w:t>
      </w:r>
      <w:r w:rsidR="00891705" w:rsidRPr="00A73C45">
        <w:rPr>
          <w:lang w:val="en-CA"/>
        </w:rPr>
        <w:t>, identical treatment packs will be created</w:t>
      </w:r>
      <w:r w:rsidR="005D7F29" w:rsidRPr="00A73C45">
        <w:rPr>
          <w:lang w:val="en-CA"/>
        </w:rPr>
        <w:t xml:space="preserve"> and distributed to the wards</w:t>
      </w:r>
      <w:r w:rsidR="00891705" w:rsidRPr="00A73C45">
        <w:rPr>
          <w:lang w:val="en-CA"/>
        </w:rPr>
        <w:t>.</w:t>
      </w:r>
      <w:r w:rsidR="005D7F29" w:rsidRPr="00A73C45">
        <w:rPr>
          <w:lang w:val="en-CA"/>
        </w:rPr>
        <w:t xml:space="preserve">  Each treatment pack will contain two bottles.  The first bottle will contain 60 tablets of either 81mg aspirin or matched placebo.  The second bottle will contain 120 tablets of either 500mg aspirin or matched placebo.  </w:t>
      </w:r>
      <w:r w:rsidR="00AD0141">
        <w:rPr>
          <w:lang w:val="en-CA"/>
        </w:rPr>
        <w:t xml:space="preserve">Additional pills will be added to bottles to allow for </w:t>
      </w:r>
      <w:r w:rsidR="007735DC">
        <w:rPr>
          <w:lang w:val="en-CA"/>
        </w:rPr>
        <w:t>accidental discards</w:t>
      </w:r>
      <w:r w:rsidR="00BD1A60">
        <w:rPr>
          <w:lang w:val="en-CA"/>
        </w:rPr>
        <w:t>, replacement of vomited doses</w:t>
      </w:r>
      <w:r w:rsidR="007735DC">
        <w:rPr>
          <w:lang w:val="en-CA"/>
        </w:rPr>
        <w:t xml:space="preserve"> and </w:t>
      </w:r>
      <w:r w:rsidR="00BD1A60">
        <w:rPr>
          <w:lang w:val="en-CA"/>
        </w:rPr>
        <w:t xml:space="preserve">to </w:t>
      </w:r>
      <w:r w:rsidR="007735DC">
        <w:rPr>
          <w:lang w:val="en-CA"/>
        </w:rPr>
        <w:t xml:space="preserve">limit manipulation of compliance pill counts.  </w:t>
      </w:r>
      <w:r w:rsidR="005D7F29" w:rsidRPr="00A73C45">
        <w:rPr>
          <w:lang w:val="en-CA"/>
        </w:rPr>
        <w:t>All patients will take one 81mg tablet and two 500mg tablets per day.</w:t>
      </w:r>
      <w:r w:rsidR="00FE4B75" w:rsidRPr="00A73C45">
        <w:rPr>
          <w:lang w:val="en-CA"/>
        </w:rPr>
        <w:t xml:space="preserve">  </w:t>
      </w:r>
      <w:r w:rsidR="00372310">
        <w:rPr>
          <w:lang w:val="en-CA"/>
        </w:rPr>
        <w:t xml:space="preserve">Administration of the two daily 500mg tablets will be separated by approximately 12 hours.  </w:t>
      </w:r>
      <w:r w:rsidR="00FE4B75" w:rsidRPr="00A73C45">
        <w:rPr>
          <w:lang w:val="en-CA"/>
        </w:rPr>
        <w:t>Treatment allocation will be as follows:</w:t>
      </w:r>
    </w:p>
    <w:p w:rsidR="00A1477E" w:rsidRDefault="00A1477E" w:rsidP="00A1477E">
      <w:pPr>
        <w:pStyle w:val="NormalIndent"/>
        <w:ind w:left="0"/>
      </w:pPr>
      <w:r>
        <w:t>Arm A: 81mg aspirin – one tablet 81mg aspirin, two tablets 500mg</w:t>
      </w:r>
      <w:r w:rsidR="007735DC">
        <w:t>-matched</w:t>
      </w:r>
      <w:r>
        <w:t xml:space="preserve"> placebo (bottle #1 is aspirin, bottle #2 is placebo)</w:t>
      </w:r>
    </w:p>
    <w:p w:rsidR="00A1477E" w:rsidRDefault="00A1477E" w:rsidP="00A1477E">
      <w:pPr>
        <w:pStyle w:val="NormalIndent"/>
        <w:ind w:left="0"/>
      </w:pPr>
      <w:r>
        <w:t>Arm B: 1000mg aspirin – one tablet 81mg</w:t>
      </w:r>
      <w:r w:rsidR="007735DC">
        <w:t>-matched</w:t>
      </w:r>
      <w:r>
        <w:t xml:space="preserve"> placebo, two tablets 500mg aspirin (bottle #1 is placebo, bottle #2 is aspirin)</w:t>
      </w:r>
    </w:p>
    <w:p w:rsidR="00A1477E" w:rsidRDefault="00A1477E" w:rsidP="00A1477E">
      <w:pPr>
        <w:pStyle w:val="NormalIndent"/>
        <w:ind w:left="0"/>
      </w:pPr>
      <w:r>
        <w:t>Arm C: placebo – one tablet 81mg</w:t>
      </w:r>
      <w:r w:rsidR="007735DC">
        <w:t>-matched</w:t>
      </w:r>
      <w:r>
        <w:t xml:space="preserve"> placebo, two tablets 500mg</w:t>
      </w:r>
      <w:r w:rsidR="007735DC">
        <w:t>-matched</w:t>
      </w:r>
      <w:r>
        <w:t xml:space="preserve"> placebo (bottle #1 and #2 are placebo)</w:t>
      </w:r>
    </w:p>
    <w:p w:rsidR="007B2B41" w:rsidRDefault="00372310" w:rsidP="00F46C98">
      <w:pPr>
        <w:pStyle w:val="NormalIndent"/>
        <w:ind w:left="0"/>
        <w:rPr>
          <w:lang w:val="en-CA"/>
        </w:rPr>
      </w:pPr>
      <w:r>
        <w:rPr>
          <w:lang w:val="en-CA"/>
        </w:rPr>
        <w:t>Daily treatment of one 81mg size tablet and two 500mg size tablets (1000mg</w:t>
      </w:r>
      <w:r w:rsidR="008D202A">
        <w:rPr>
          <w:lang w:val="en-CA"/>
        </w:rPr>
        <w:t xml:space="preserve"> in two divided doses</w:t>
      </w:r>
      <w:r>
        <w:rPr>
          <w:lang w:val="en-CA"/>
        </w:rPr>
        <w:t>) will be taken for 60 days.</w:t>
      </w:r>
    </w:p>
    <w:p w:rsidR="00891705" w:rsidRPr="00A73C45" w:rsidRDefault="007B2B41" w:rsidP="00F46C98">
      <w:pPr>
        <w:pStyle w:val="NormalIndent"/>
        <w:ind w:left="0"/>
        <w:rPr>
          <w:lang w:val="en-CA"/>
        </w:rPr>
      </w:pPr>
      <w:r>
        <w:rPr>
          <w:lang w:val="en-CA"/>
        </w:rPr>
        <w:lastRenderedPageBreak/>
        <w:t>The 81mg tablets and 500mg tablets will not be visually matched, hence the need for patients to take both tablets for each dose.  All tablets will be coated to prevent taste differentiation between active drug and placebo.</w:t>
      </w:r>
      <w:r w:rsidR="00372310">
        <w:rPr>
          <w:lang w:val="en-CA"/>
        </w:rPr>
        <w:t xml:space="preserve">    </w:t>
      </w:r>
      <w:r w:rsidR="005D7F29" w:rsidRPr="00A73C45">
        <w:rPr>
          <w:lang w:val="en-CA"/>
        </w:rPr>
        <w:t xml:space="preserve">  </w:t>
      </w:r>
      <w:r w:rsidR="00676F65" w:rsidRPr="00A73C45">
        <w:rPr>
          <w:lang w:val="en-CA"/>
        </w:rPr>
        <w:t xml:space="preserve"> </w:t>
      </w:r>
    </w:p>
    <w:p w:rsidR="00AD597D" w:rsidRPr="00A73C45" w:rsidRDefault="00AD597D" w:rsidP="00DB6DB7">
      <w:pPr>
        <w:pStyle w:val="NormalIndent"/>
        <w:rPr>
          <w:lang w:val="en-CA"/>
        </w:rPr>
      </w:pPr>
    </w:p>
    <w:p w:rsidR="00F84AE3" w:rsidRPr="00A73C45" w:rsidRDefault="00F84AE3" w:rsidP="003A4A48">
      <w:pPr>
        <w:pStyle w:val="Heading2"/>
        <w:rPr>
          <w:lang w:val="en-CA"/>
        </w:rPr>
      </w:pPr>
      <w:bookmarkStart w:id="56" w:name="_Toc387306494"/>
      <w:r w:rsidRPr="00A73C45">
        <w:rPr>
          <w:lang w:val="en-CA"/>
        </w:rPr>
        <w:t>Storage of Study Treatment</w:t>
      </w:r>
      <w:bookmarkEnd w:id="56"/>
    </w:p>
    <w:p w:rsidR="008E10EB" w:rsidRPr="00A73C45" w:rsidRDefault="008E10EB" w:rsidP="00F46C98">
      <w:pPr>
        <w:pStyle w:val="NormalIndent"/>
        <w:ind w:left="0"/>
        <w:rPr>
          <w:lang w:val="en-CA"/>
        </w:rPr>
      </w:pPr>
      <w:r w:rsidRPr="00A73C45">
        <w:rPr>
          <w:lang w:val="en-CA"/>
        </w:rPr>
        <w:t xml:space="preserve">Aspirin </w:t>
      </w:r>
      <w:r w:rsidR="00064659" w:rsidRPr="00A73C45">
        <w:rPr>
          <w:lang w:val="en-CA"/>
        </w:rPr>
        <w:t>and placebo are</w:t>
      </w:r>
      <w:r w:rsidRPr="00A73C45">
        <w:rPr>
          <w:lang w:val="en-CA"/>
        </w:rPr>
        <w:t xml:space="preserve"> stable at room temperature for 24 months</w:t>
      </w:r>
      <w:r w:rsidR="00AD597D" w:rsidRPr="00A73C45">
        <w:rPr>
          <w:lang w:val="en-CA"/>
        </w:rPr>
        <w:t>.</w:t>
      </w:r>
    </w:p>
    <w:p w:rsidR="00AD597D" w:rsidRPr="00A73C45" w:rsidRDefault="00AD597D" w:rsidP="00DB6DB7">
      <w:pPr>
        <w:pStyle w:val="NormalIndent"/>
        <w:rPr>
          <w:lang w:val="en-CA"/>
        </w:rPr>
      </w:pPr>
    </w:p>
    <w:p w:rsidR="00F84AE3" w:rsidRPr="00A73C45" w:rsidRDefault="00F84AE3" w:rsidP="003A4A48">
      <w:pPr>
        <w:pStyle w:val="Heading2"/>
        <w:rPr>
          <w:lang w:val="en-CA"/>
        </w:rPr>
      </w:pPr>
      <w:bookmarkStart w:id="57" w:name="_Toc387306495"/>
      <w:r w:rsidRPr="00A73C45">
        <w:rPr>
          <w:lang w:val="en-CA"/>
        </w:rPr>
        <w:t>Compliance with Study Treatment</w:t>
      </w:r>
      <w:bookmarkEnd w:id="57"/>
    </w:p>
    <w:p w:rsidR="00F84AE3" w:rsidRPr="00A73C45" w:rsidRDefault="008E10EB" w:rsidP="00F46C98">
      <w:pPr>
        <w:pStyle w:val="NormalIndent"/>
        <w:ind w:left="0"/>
        <w:rPr>
          <w:lang w:val="en-CA"/>
        </w:rPr>
      </w:pPr>
      <w:r w:rsidRPr="00A73C45">
        <w:rPr>
          <w:lang w:val="en-CA"/>
        </w:rPr>
        <w:t xml:space="preserve">For the first </w:t>
      </w:r>
      <w:r w:rsidR="00F529C7" w:rsidRPr="00A73C45">
        <w:rPr>
          <w:lang w:val="en-CA"/>
        </w:rPr>
        <w:t>14</w:t>
      </w:r>
      <w:r w:rsidRPr="00A73C45">
        <w:rPr>
          <w:lang w:val="en-CA"/>
        </w:rPr>
        <w:t xml:space="preserve"> days of treatment, the drug will be administered </w:t>
      </w:r>
      <w:r w:rsidR="00C62DE7" w:rsidRPr="00A73C45">
        <w:rPr>
          <w:lang w:val="en-CA"/>
        </w:rPr>
        <w:t xml:space="preserve">under observation of </w:t>
      </w:r>
      <w:r w:rsidRPr="00A73C45">
        <w:rPr>
          <w:lang w:val="en-CA"/>
        </w:rPr>
        <w:t xml:space="preserve">the ward nurses thus ensuring compliance with the </w:t>
      </w:r>
      <w:r w:rsidR="00C62DE7" w:rsidRPr="00A73C45">
        <w:rPr>
          <w:lang w:val="en-CA"/>
        </w:rPr>
        <w:t>regimen</w:t>
      </w:r>
      <w:r w:rsidRPr="00A73C45">
        <w:rPr>
          <w:lang w:val="en-CA"/>
        </w:rPr>
        <w:t xml:space="preserve">. Patients may be discharged </w:t>
      </w:r>
      <w:r w:rsidR="00064659" w:rsidRPr="00A73C45">
        <w:rPr>
          <w:lang w:val="en-CA"/>
        </w:rPr>
        <w:t xml:space="preserve">after day 14 and may </w:t>
      </w:r>
      <w:r w:rsidRPr="00A73C45">
        <w:rPr>
          <w:lang w:val="en-CA"/>
        </w:rPr>
        <w:t>complete study drug treatment</w:t>
      </w:r>
      <w:r w:rsidR="00064659" w:rsidRPr="00A73C45">
        <w:rPr>
          <w:lang w:val="en-CA"/>
        </w:rPr>
        <w:t xml:space="preserve"> at home</w:t>
      </w:r>
      <w:r w:rsidRPr="00A73C45">
        <w:rPr>
          <w:lang w:val="en-CA"/>
        </w:rPr>
        <w:t xml:space="preserve">. </w:t>
      </w:r>
      <w:r w:rsidR="00C62DE7" w:rsidRPr="00A73C45">
        <w:rPr>
          <w:lang w:val="en-CA"/>
        </w:rPr>
        <w:t xml:space="preserve">Compliance </w:t>
      </w:r>
      <w:r w:rsidR="00072AEA">
        <w:rPr>
          <w:lang w:val="en-CA"/>
        </w:rPr>
        <w:t xml:space="preserve">inquiry and </w:t>
      </w:r>
      <w:r w:rsidR="00C62DE7" w:rsidRPr="00A73C45">
        <w:rPr>
          <w:lang w:val="en-CA"/>
        </w:rPr>
        <w:t xml:space="preserve">counselling will be done at each study visit by the study staff.  </w:t>
      </w:r>
      <w:r w:rsidR="00864109" w:rsidRPr="00A73C45">
        <w:rPr>
          <w:lang w:val="en-CA"/>
        </w:rPr>
        <w:t xml:space="preserve">Patients </w:t>
      </w:r>
      <w:r w:rsidR="00F84AE3" w:rsidRPr="00A73C45">
        <w:rPr>
          <w:lang w:val="en-CA"/>
        </w:rPr>
        <w:t>will be instructed to return all medication</w:t>
      </w:r>
      <w:r w:rsidR="007735DC">
        <w:rPr>
          <w:lang w:val="en-CA"/>
        </w:rPr>
        <w:t xml:space="preserve"> and bottles</w:t>
      </w:r>
      <w:r w:rsidR="00F84AE3" w:rsidRPr="00A73C45">
        <w:rPr>
          <w:lang w:val="en-CA"/>
        </w:rPr>
        <w:t xml:space="preserve"> at </w:t>
      </w:r>
      <w:r w:rsidR="00F529C7" w:rsidRPr="00A73C45">
        <w:rPr>
          <w:lang w:val="en-CA"/>
        </w:rPr>
        <w:t xml:space="preserve">the day 60 </w:t>
      </w:r>
      <w:r w:rsidR="00F84AE3" w:rsidRPr="00A73C45">
        <w:rPr>
          <w:lang w:val="en-CA"/>
        </w:rPr>
        <w:t>visit</w:t>
      </w:r>
      <w:r w:rsidR="00C62DE7" w:rsidRPr="00A73C45">
        <w:rPr>
          <w:lang w:val="en-CA"/>
        </w:rPr>
        <w:t xml:space="preserve"> when a pill count will be done</w:t>
      </w:r>
      <w:r w:rsidR="00F84AE3" w:rsidRPr="00A73C45">
        <w:rPr>
          <w:lang w:val="en-CA"/>
        </w:rPr>
        <w:t xml:space="preserve">. </w:t>
      </w:r>
      <w:r w:rsidR="00072AEA">
        <w:rPr>
          <w:lang w:val="en-CA"/>
        </w:rPr>
        <w:t xml:space="preserve">Medication bottles of patients who die or withdraw will be collected </w:t>
      </w:r>
      <w:r w:rsidR="00DC601F">
        <w:rPr>
          <w:lang w:val="en-CA"/>
        </w:rPr>
        <w:t xml:space="preserve">when possible </w:t>
      </w:r>
      <w:r w:rsidR="00072AEA">
        <w:rPr>
          <w:lang w:val="en-CA"/>
        </w:rPr>
        <w:t xml:space="preserve">for compliance and inventory checks.  </w:t>
      </w:r>
    </w:p>
    <w:p w:rsidR="00AD597D" w:rsidRPr="00A73C45" w:rsidRDefault="00AD597D" w:rsidP="008E10EB">
      <w:pPr>
        <w:pStyle w:val="NormalIndent"/>
        <w:rPr>
          <w:lang w:val="en-CA"/>
        </w:rPr>
      </w:pPr>
    </w:p>
    <w:p w:rsidR="00F84AE3" w:rsidRPr="00A73C45" w:rsidRDefault="00F84AE3" w:rsidP="003A4A48">
      <w:pPr>
        <w:pStyle w:val="Heading2"/>
        <w:rPr>
          <w:lang w:val="en-CA"/>
        </w:rPr>
      </w:pPr>
      <w:bookmarkStart w:id="58" w:name="_Toc387306496"/>
      <w:r w:rsidRPr="00A73C45">
        <w:rPr>
          <w:lang w:val="en-CA"/>
        </w:rPr>
        <w:t>Accountability of the Study Treatment</w:t>
      </w:r>
      <w:bookmarkEnd w:id="58"/>
    </w:p>
    <w:p w:rsidR="008E10EB" w:rsidRPr="00A73C45" w:rsidRDefault="00C62DE7" w:rsidP="00F46C98">
      <w:pPr>
        <w:pStyle w:val="NormalIndent"/>
        <w:ind w:left="0"/>
        <w:rPr>
          <w:lang w:val="en-CA"/>
        </w:rPr>
      </w:pPr>
      <w:r w:rsidRPr="00A73C45">
        <w:rPr>
          <w:lang w:val="en-CA"/>
        </w:rPr>
        <w:t>All receipt, transfers, dispensing</w:t>
      </w:r>
      <w:r w:rsidR="00DD180A">
        <w:rPr>
          <w:lang w:val="en-CA"/>
        </w:rPr>
        <w:t>, administration</w:t>
      </w:r>
      <w:r w:rsidRPr="00A73C45">
        <w:rPr>
          <w:lang w:val="en-CA"/>
        </w:rPr>
        <w:t xml:space="preserve"> and return of st</w:t>
      </w:r>
      <w:r w:rsidR="00DD180A">
        <w:rPr>
          <w:lang w:val="en-CA"/>
        </w:rPr>
        <w:t>udy drug will be accounted for b</w:t>
      </w:r>
      <w:r w:rsidRPr="00A73C45">
        <w:rPr>
          <w:lang w:val="en-CA"/>
        </w:rPr>
        <w:t>y the trial pharmacist.  S</w:t>
      </w:r>
      <w:r w:rsidR="008E10EB" w:rsidRPr="00A73C45">
        <w:rPr>
          <w:lang w:val="en-CA"/>
        </w:rPr>
        <w:t xml:space="preserve">tudy drug will be prescribed </w:t>
      </w:r>
      <w:r w:rsidRPr="00A73C45">
        <w:rPr>
          <w:lang w:val="en-CA"/>
        </w:rPr>
        <w:t>and administered by standard h</w:t>
      </w:r>
      <w:r w:rsidR="0043043A">
        <w:rPr>
          <w:lang w:val="en-CA"/>
        </w:rPr>
        <w:t>ospital and OUCRU procedures.  W</w:t>
      </w:r>
      <w:r w:rsidR="008E10EB" w:rsidRPr="00A73C45">
        <w:rPr>
          <w:lang w:val="en-CA"/>
        </w:rPr>
        <w:t xml:space="preserve">ard nurses </w:t>
      </w:r>
      <w:r w:rsidR="0043043A">
        <w:rPr>
          <w:lang w:val="en-CA"/>
        </w:rPr>
        <w:t xml:space="preserve">trained in study procedures </w:t>
      </w:r>
      <w:r w:rsidR="008E10EB" w:rsidRPr="00A73C45">
        <w:rPr>
          <w:lang w:val="en-CA"/>
        </w:rPr>
        <w:t xml:space="preserve">will be responsible for safe storage and </w:t>
      </w:r>
      <w:r w:rsidRPr="00A73C45">
        <w:rPr>
          <w:lang w:val="en-CA"/>
        </w:rPr>
        <w:t xml:space="preserve">in-hospital </w:t>
      </w:r>
      <w:r w:rsidR="008E10EB" w:rsidRPr="00A73C45">
        <w:rPr>
          <w:lang w:val="en-CA"/>
        </w:rPr>
        <w:t>administration.</w:t>
      </w:r>
    </w:p>
    <w:p w:rsidR="00AD597D" w:rsidRPr="00A73C45" w:rsidRDefault="00AD597D" w:rsidP="00DB6DB7">
      <w:pPr>
        <w:pStyle w:val="NormalIndent"/>
        <w:rPr>
          <w:lang w:val="en-CA"/>
        </w:rPr>
      </w:pPr>
    </w:p>
    <w:p w:rsidR="00732700" w:rsidRDefault="00732700" w:rsidP="003A4A48">
      <w:pPr>
        <w:pStyle w:val="Heading2"/>
        <w:rPr>
          <w:lang w:val="en-CA"/>
        </w:rPr>
      </w:pPr>
      <w:bookmarkStart w:id="59" w:name="_Toc387306497"/>
      <w:r>
        <w:rPr>
          <w:lang w:val="en-CA"/>
        </w:rPr>
        <w:t>Prophylaxis</w:t>
      </w:r>
      <w:bookmarkEnd w:id="59"/>
    </w:p>
    <w:p w:rsidR="003E1558" w:rsidRPr="00A73C45" w:rsidRDefault="00732700" w:rsidP="003E1558">
      <w:pPr>
        <w:pStyle w:val="NormalIndent"/>
        <w:ind w:left="0"/>
        <w:rPr>
          <w:lang w:val="en-CA"/>
        </w:rPr>
      </w:pPr>
      <w:r>
        <w:rPr>
          <w:lang w:val="en-CA"/>
        </w:rPr>
        <w:t>P</w:t>
      </w:r>
      <w:r w:rsidRPr="00A73C45">
        <w:rPr>
          <w:lang w:val="en-CA"/>
        </w:rPr>
        <w:t xml:space="preserve">rophylaxis against upper gastro-intestinal symptoms and bleeding is </w:t>
      </w:r>
      <w:r>
        <w:rPr>
          <w:lang w:val="en-CA"/>
        </w:rPr>
        <w:t>recommended.  P</w:t>
      </w:r>
      <w:r w:rsidRPr="00A73C45">
        <w:rPr>
          <w:lang w:val="en-CA"/>
        </w:rPr>
        <w:t xml:space="preserve">atients </w:t>
      </w:r>
      <w:r>
        <w:rPr>
          <w:lang w:val="en-CA"/>
        </w:rPr>
        <w:t>will</w:t>
      </w:r>
      <w:r w:rsidRPr="00A73C45">
        <w:rPr>
          <w:lang w:val="en-CA"/>
        </w:rPr>
        <w:t xml:space="preserve"> be prescribed ranitidine (300mg at night)</w:t>
      </w:r>
      <w:r>
        <w:rPr>
          <w:lang w:val="en-CA"/>
        </w:rPr>
        <w:t xml:space="preserve"> unless the attending physician decides otherwise.</w:t>
      </w:r>
      <w:r w:rsidR="003E1558">
        <w:rPr>
          <w:lang w:val="en-CA"/>
        </w:rPr>
        <w:t xml:space="preserve"> </w:t>
      </w:r>
      <w:r w:rsidR="003E1558" w:rsidRPr="00A73C45">
        <w:rPr>
          <w:lang w:val="en-CA"/>
        </w:rPr>
        <w:t>Antacids should be avoided, if possible, as they may increase the urinary excretion of aspirin. Proton pump inhibitors (e.g. omeprazole) should also be avoided as they interact with rifampicin.</w:t>
      </w:r>
    </w:p>
    <w:p w:rsidR="003E1558" w:rsidRDefault="003E1558">
      <w:pPr>
        <w:rPr>
          <w:lang w:val="en-CA"/>
        </w:rPr>
      </w:pPr>
    </w:p>
    <w:p w:rsidR="003E1558" w:rsidRDefault="003E1558"/>
    <w:p w:rsidR="00F84AE3" w:rsidRPr="00A73C45" w:rsidRDefault="00F84AE3" w:rsidP="003A4A48">
      <w:pPr>
        <w:pStyle w:val="Heading2"/>
        <w:rPr>
          <w:lang w:val="en-CA"/>
        </w:rPr>
      </w:pPr>
      <w:bookmarkStart w:id="60" w:name="_Toc387306498"/>
      <w:r w:rsidRPr="00A73C45">
        <w:rPr>
          <w:lang w:val="en-CA"/>
        </w:rPr>
        <w:t>Concomitant Medication</w:t>
      </w:r>
      <w:bookmarkEnd w:id="60"/>
    </w:p>
    <w:p w:rsidR="00F84AE3" w:rsidRPr="00A73C45" w:rsidRDefault="00F84AE3" w:rsidP="00F46C98">
      <w:pPr>
        <w:pStyle w:val="NormalIndent"/>
        <w:ind w:left="0"/>
        <w:rPr>
          <w:lang w:val="en-CA"/>
        </w:rPr>
      </w:pPr>
      <w:r w:rsidRPr="00A73C45">
        <w:rPr>
          <w:lang w:val="en-CA"/>
        </w:rPr>
        <w:t>Throughout the study</w:t>
      </w:r>
      <w:r w:rsidR="00354CA3">
        <w:rPr>
          <w:lang w:val="en-CA"/>
        </w:rPr>
        <w:t>,</w:t>
      </w:r>
      <w:r w:rsidRPr="00A73C45">
        <w:rPr>
          <w:lang w:val="en-CA"/>
        </w:rPr>
        <w:t xml:space="preserve"> Investigators may prescribe any concomitant medications or treatments deemed necessary to provide adequate supportive care</w:t>
      </w:r>
      <w:r w:rsidR="009F26A0" w:rsidRPr="00A73C45">
        <w:rPr>
          <w:lang w:val="en-CA"/>
        </w:rPr>
        <w:t>, with the exception of other NSAIDS</w:t>
      </w:r>
      <w:r w:rsidRPr="00A73C45">
        <w:rPr>
          <w:lang w:val="en-CA"/>
        </w:rPr>
        <w:t xml:space="preserve">. </w:t>
      </w:r>
      <w:r w:rsidR="0043043A">
        <w:rPr>
          <w:lang w:val="en-CA"/>
        </w:rPr>
        <w:t xml:space="preserve"> </w:t>
      </w:r>
    </w:p>
    <w:p w:rsidR="009F26A0" w:rsidRPr="00A73C45" w:rsidRDefault="000B7E36" w:rsidP="00F46C98">
      <w:pPr>
        <w:pStyle w:val="NormalIndent"/>
        <w:ind w:left="0"/>
        <w:rPr>
          <w:lang w:val="en-CA"/>
        </w:rPr>
      </w:pPr>
      <w:r w:rsidRPr="00A73C45">
        <w:rPr>
          <w:lang w:val="en-CA"/>
        </w:rPr>
        <w:t xml:space="preserve">Study doctors should </w:t>
      </w:r>
      <w:r w:rsidR="003A56A7" w:rsidRPr="00A73C45">
        <w:rPr>
          <w:lang w:val="en-CA"/>
        </w:rPr>
        <w:t xml:space="preserve">also </w:t>
      </w:r>
      <w:r w:rsidRPr="00A73C45">
        <w:rPr>
          <w:lang w:val="en-CA"/>
        </w:rPr>
        <w:t>be aware of t</w:t>
      </w:r>
      <w:r w:rsidR="009F26A0" w:rsidRPr="00A73C45">
        <w:rPr>
          <w:lang w:val="en-CA"/>
        </w:rPr>
        <w:t>he following potential interactions noted in the aspirin summary of produce characteristics (SPC):</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lastRenderedPageBreak/>
        <w:t xml:space="preserve">Aspirin may enhance the effects of anticoagulants and oral hypoglycaemic agents.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Other antiplat</w:t>
      </w:r>
      <w:r w:rsidR="000B7E36" w:rsidRPr="00A73C45">
        <w:rPr>
          <w:rFonts w:cs="Arial"/>
          <w:lang w:val="en-CA" w:eastAsia="en-GB"/>
        </w:rPr>
        <w:t>e</w:t>
      </w:r>
      <w:r w:rsidRPr="00A73C45">
        <w:rPr>
          <w:rFonts w:cs="Arial"/>
          <w:lang w:val="en-CA" w:eastAsia="en-GB"/>
        </w:rPr>
        <w:t xml:space="preserve">let drugs such as clopidogrel and ticlopidine increase the risk of bleeding.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Aspirin may enhance the effects of phenytoin and sodium valproate.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The activity of methotrexate may be markedly enhanced by aspirin and its toxicity increased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Aspirin may antagonise the diuretic effect of spironolactone and may reduce acetazolamide excretion (risk of toxicity).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Aspirin increases plasma concentration of zafirlukast.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Metoclopramide and domperidone enhance the effect of aspirin (increased rate of absorption).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Avoid concomitant administration with mifepristone (theoretical interaction).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Aspirin may inhibit action of uricosurics.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The toxicity of sulphonamides may also be increased by aspirin. </w:t>
      </w:r>
    </w:p>
    <w:p w:rsidR="009F26A0" w:rsidRPr="00A73C45" w:rsidRDefault="009F26A0" w:rsidP="002A161D">
      <w:pPr>
        <w:numPr>
          <w:ilvl w:val="0"/>
          <w:numId w:val="6"/>
        </w:numPr>
        <w:spacing w:before="100" w:beforeAutospacing="1" w:after="100" w:afterAutospacing="1"/>
        <w:jc w:val="left"/>
        <w:rPr>
          <w:rFonts w:cs="Arial"/>
          <w:lang w:val="en-CA" w:eastAsia="en-GB"/>
        </w:rPr>
      </w:pPr>
      <w:r w:rsidRPr="00A73C45">
        <w:rPr>
          <w:rFonts w:cs="Arial"/>
          <w:lang w:val="en-CA" w:eastAsia="en-GB"/>
        </w:rPr>
        <w:t xml:space="preserve">Aspirin is pharmaceutically incompatible with iron salts and alkalis. </w:t>
      </w:r>
    </w:p>
    <w:p w:rsidR="00F529C7" w:rsidRPr="00A73C45" w:rsidRDefault="00F529C7" w:rsidP="00B01823">
      <w:pPr>
        <w:spacing w:before="100" w:beforeAutospacing="1" w:after="100" w:afterAutospacing="1"/>
        <w:jc w:val="left"/>
        <w:rPr>
          <w:rFonts w:cs="Arial"/>
          <w:lang w:val="en-CA" w:eastAsia="en-GB"/>
        </w:rPr>
      </w:pPr>
      <w:r w:rsidRPr="00A73C45">
        <w:rPr>
          <w:rFonts w:cs="Arial"/>
          <w:lang w:val="en-CA" w:eastAsia="en-GB"/>
        </w:rPr>
        <w:t>Any toxicity relating to anti-tuberculosis drugs will be managed according to n</w:t>
      </w:r>
      <w:r w:rsidR="00B82D6D" w:rsidRPr="00A73C45">
        <w:rPr>
          <w:rFonts w:cs="Arial"/>
          <w:lang w:val="en-CA" w:eastAsia="en-GB"/>
        </w:rPr>
        <w:t xml:space="preserve">ational guidelines (see national guidelines </w:t>
      </w:r>
      <w:r w:rsidR="00184DED">
        <w:rPr>
          <w:rFonts w:cs="Arial"/>
          <w:lang w:val="en-CA" w:eastAsia="en-GB"/>
        </w:rPr>
        <w:t>in Appendix D</w:t>
      </w:r>
      <w:r w:rsidRPr="00A73C45">
        <w:rPr>
          <w:rFonts w:cs="Arial"/>
          <w:lang w:val="en-CA" w:eastAsia="en-GB"/>
        </w:rPr>
        <w:t>)</w:t>
      </w:r>
      <w:r w:rsidR="0042790D">
        <w:rPr>
          <w:rFonts w:cs="Arial"/>
          <w:lang w:val="en-CA" w:eastAsia="en-GB"/>
        </w:rPr>
        <w:t xml:space="preserve"> or treatment procedures agreed by the hospital</w:t>
      </w:r>
      <w:r w:rsidRPr="00A73C45">
        <w:rPr>
          <w:rFonts w:cs="Arial"/>
          <w:lang w:val="en-CA" w:eastAsia="en-GB"/>
        </w:rPr>
        <w:t>.</w:t>
      </w:r>
    </w:p>
    <w:p w:rsidR="00A7792F" w:rsidRPr="00A7792F" w:rsidRDefault="00A7792F" w:rsidP="00A7792F">
      <w:pPr>
        <w:pStyle w:val="Heading2"/>
        <w:rPr>
          <w:lang w:val="en-CA"/>
        </w:rPr>
      </w:pPr>
      <w:bookmarkStart w:id="61" w:name="_Toc387306499"/>
      <w:r w:rsidRPr="00A7792F">
        <w:rPr>
          <w:lang w:val="en-CA"/>
        </w:rPr>
        <w:t>Unblinding</w:t>
      </w:r>
      <w:bookmarkEnd w:id="61"/>
    </w:p>
    <w:p w:rsidR="00A7792F" w:rsidRPr="00A73C45" w:rsidRDefault="00A7792F" w:rsidP="00A7792F">
      <w:pPr>
        <w:rPr>
          <w:lang w:val="en-CA"/>
        </w:rPr>
      </w:pPr>
      <w:r w:rsidRPr="00A73C45">
        <w:rPr>
          <w:lang w:val="en-CA"/>
        </w:rPr>
        <w:t xml:space="preserve">Unblinding means revealing the identity of the study treatment (i.e. aspirin or placebo).  Study treatment should only be unblinded if knowing the treatment that a patient has been allocated will result in a change in the patient’s management.  </w:t>
      </w:r>
    </w:p>
    <w:p w:rsidR="00A7792F" w:rsidRPr="00A73C45" w:rsidRDefault="00A7792F" w:rsidP="00A7792F">
      <w:pPr>
        <w:rPr>
          <w:lang w:val="en-CA"/>
        </w:rPr>
      </w:pPr>
      <w:r w:rsidRPr="00A73C45">
        <w:rPr>
          <w:lang w:val="en-CA"/>
        </w:rPr>
        <w:t xml:space="preserve">The decision whether or not to unblind should be discussed with the Principal Investigator when possible.  Unblinded treatment allocation </w:t>
      </w:r>
      <w:r w:rsidR="00184DED">
        <w:rPr>
          <w:lang w:val="en-CA"/>
        </w:rPr>
        <w:t xml:space="preserve">information </w:t>
      </w:r>
      <w:r w:rsidRPr="00A73C45">
        <w:rPr>
          <w:lang w:val="en-CA"/>
        </w:rPr>
        <w:t xml:space="preserve">will be available in opaque, tamper-proof envelopes held securely at each site and available at all times.  The responsibility to approve unblinding will be assigned to dedicated site staff.  Access to treatment allocation </w:t>
      </w:r>
      <w:r w:rsidR="00184DED">
        <w:rPr>
          <w:lang w:val="en-CA"/>
        </w:rPr>
        <w:t xml:space="preserve">information </w:t>
      </w:r>
      <w:r w:rsidRPr="00A73C45">
        <w:rPr>
          <w:lang w:val="en-CA"/>
        </w:rPr>
        <w:t xml:space="preserve">should only be given with the approval of one of these dedicated staff.  Unblinding will be documented in the case record form.  </w:t>
      </w:r>
    </w:p>
    <w:p w:rsidR="00A7792F" w:rsidRDefault="00A7792F" w:rsidP="00A7792F">
      <w:pPr>
        <w:pStyle w:val="Heading2"/>
        <w:numPr>
          <w:ilvl w:val="0"/>
          <w:numId w:val="0"/>
        </w:numPr>
        <w:ind w:left="576" w:hanging="576"/>
        <w:rPr>
          <w:lang w:val="en-CA"/>
        </w:rPr>
      </w:pPr>
    </w:p>
    <w:p w:rsidR="00F84AE3" w:rsidRPr="00A73C45" w:rsidRDefault="00F84AE3" w:rsidP="003A4A48">
      <w:pPr>
        <w:pStyle w:val="Heading2"/>
        <w:rPr>
          <w:lang w:val="en-CA"/>
        </w:rPr>
      </w:pPr>
      <w:bookmarkStart w:id="62" w:name="_Toc387306500"/>
      <w:r w:rsidRPr="00A73C45">
        <w:rPr>
          <w:lang w:val="en-CA"/>
        </w:rPr>
        <w:t>Post</w:t>
      </w:r>
      <w:r w:rsidR="000B7E36" w:rsidRPr="00A73C45">
        <w:rPr>
          <w:lang w:val="en-CA"/>
        </w:rPr>
        <w:t>-</w:t>
      </w:r>
      <w:r w:rsidR="00CC3F8D">
        <w:rPr>
          <w:lang w:val="en-CA"/>
        </w:rPr>
        <w:t>trial T</w:t>
      </w:r>
      <w:r w:rsidRPr="00A73C45">
        <w:rPr>
          <w:lang w:val="en-CA"/>
        </w:rPr>
        <w:t>reatment</w:t>
      </w:r>
      <w:bookmarkEnd w:id="62"/>
      <w:r w:rsidR="00824CDF">
        <w:rPr>
          <w:lang w:val="en-CA"/>
        </w:rPr>
        <w:t xml:space="preserve"> </w:t>
      </w:r>
    </w:p>
    <w:p w:rsidR="00F84AE3" w:rsidRDefault="00F84AE3" w:rsidP="00F46C98">
      <w:pPr>
        <w:pStyle w:val="NormalIndent"/>
        <w:ind w:left="0"/>
        <w:rPr>
          <w:lang w:val="en-CA"/>
        </w:rPr>
      </w:pPr>
      <w:r w:rsidRPr="00A73C45">
        <w:rPr>
          <w:lang w:val="en-CA"/>
        </w:rPr>
        <w:t>Study medication will not be continued beyond the trial period</w:t>
      </w:r>
      <w:r w:rsidR="000B7E36" w:rsidRPr="00A73C45">
        <w:rPr>
          <w:lang w:val="en-CA"/>
        </w:rPr>
        <w:t xml:space="preserve"> of 60 days</w:t>
      </w:r>
      <w:r w:rsidRPr="00A73C45">
        <w:rPr>
          <w:lang w:val="en-CA"/>
        </w:rPr>
        <w:t xml:space="preserve">. Participants will </w:t>
      </w:r>
      <w:r w:rsidR="00184DED">
        <w:rPr>
          <w:lang w:val="en-CA"/>
        </w:rPr>
        <w:t>continue standard care throughout the trial period and after the study treatment period is complete</w:t>
      </w:r>
      <w:r w:rsidR="003E68F1" w:rsidRPr="00A73C45">
        <w:rPr>
          <w:lang w:val="en-CA"/>
        </w:rPr>
        <w:t xml:space="preserve">. Anti-tuberculosis treatment will be given </w:t>
      </w:r>
      <w:r w:rsidR="000B7E36" w:rsidRPr="00A73C45">
        <w:rPr>
          <w:lang w:val="en-CA"/>
        </w:rPr>
        <w:t>thereafter</w:t>
      </w:r>
      <w:r w:rsidR="00DB4FED" w:rsidRPr="00A73C45">
        <w:rPr>
          <w:lang w:val="en-CA"/>
        </w:rPr>
        <w:t xml:space="preserve"> </w:t>
      </w:r>
      <w:r w:rsidR="000B7E36" w:rsidRPr="00A73C45">
        <w:rPr>
          <w:lang w:val="en-CA"/>
        </w:rPr>
        <w:t xml:space="preserve">for at least 6 months </w:t>
      </w:r>
      <w:r w:rsidR="003E68F1" w:rsidRPr="00A73C45">
        <w:rPr>
          <w:lang w:val="en-CA"/>
        </w:rPr>
        <w:t xml:space="preserve">in line with </w:t>
      </w:r>
      <w:r w:rsidR="00DB4FED" w:rsidRPr="00A73C45">
        <w:rPr>
          <w:lang w:val="en-CA"/>
        </w:rPr>
        <w:t>n</w:t>
      </w:r>
      <w:r w:rsidR="003E68F1" w:rsidRPr="00A73C45">
        <w:rPr>
          <w:lang w:val="en-CA"/>
        </w:rPr>
        <w:t xml:space="preserve">ational tuberculosis treatment guidelines. There are no restrictions on concomitant medicines once </w:t>
      </w:r>
      <w:r w:rsidR="00184DED">
        <w:rPr>
          <w:lang w:val="en-CA"/>
        </w:rPr>
        <w:t>study treatment</w:t>
      </w:r>
      <w:r w:rsidR="003E68F1" w:rsidRPr="00A73C45">
        <w:rPr>
          <w:lang w:val="en-CA"/>
        </w:rPr>
        <w:t xml:space="preserve"> has stopped</w:t>
      </w:r>
      <w:r w:rsidR="00B87E94">
        <w:rPr>
          <w:lang w:val="en-CA"/>
        </w:rPr>
        <w:t>.</w:t>
      </w:r>
    </w:p>
    <w:p w:rsidR="00FD5346" w:rsidRDefault="00FD5346" w:rsidP="00F46C98">
      <w:pPr>
        <w:pStyle w:val="NormalIndent"/>
        <w:ind w:left="0"/>
        <w:rPr>
          <w:lang w:val="en-CA"/>
        </w:rPr>
      </w:pPr>
    </w:p>
    <w:p w:rsidR="003E1558" w:rsidRDefault="008B38C5">
      <w:pPr>
        <w:pStyle w:val="Heading2"/>
        <w:rPr>
          <w:lang w:val="en-CA"/>
        </w:rPr>
      </w:pPr>
      <w:bookmarkStart w:id="63" w:name="_Toc387306501"/>
      <w:r>
        <w:rPr>
          <w:lang w:val="en-CA"/>
        </w:rPr>
        <w:t xml:space="preserve">Adverse events </w:t>
      </w:r>
      <w:r w:rsidR="00CD713F">
        <w:rPr>
          <w:lang w:val="en-CA"/>
        </w:rPr>
        <w:t>Management</w:t>
      </w:r>
      <w:bookmarkEnd w:id="63"/>
    </w:p>
    <w:p w:rsidR="003E1558" w:rsidRDefault="00CD713F">
      <w:pPr>
        <w:pStyle w:val="NormalIndent"/>
        <w:ind w:left="0"/>
        <w:rPr>
          <w:lang w:val="en-CA"/>
        </w:rPr>
      </w:pPr>
      <w:r>
        <w:rPr>
          <w:lang w:val="en-CA"/>
        </w:rPr>
        <w:t>Study treatment</w:t>
      </w:r>
      <w:r w:rsidR="008B38C5" w:rsidRPr="008B38C5">
        <w:rPr>
          <w:lang w:val="en-CA"/>
        </w:rPr>
        <w:t xml:space="preserve"> will be discontinued for all grade 3 and 4 events that are considered </w:t>
      </w:r>
      <w:r>
        <w:rPr>
          <w:lang w:val="en-CA"/>
        </w:rPr>
        <w:t>related</w:t>
      </w:r>
      <w:r w:rsidR="008B38C5" w:rsidRPr="008B38C5">
        <w:rPr>
          <w:lang w:val="en-CA"/>
        </w:rPr>
        <w:t xml:space="preserve"> to Aspirin use. </w:t>
      </w:r>
      <w:r>
        <w:rPr>
          <w:lang w:val="en-CA"/>
        </w:rPr>
        <w:t xml:space="preserve">For an event to be considered related it must </w:t>
      </w:r>
      <w:r w:rsidR="008B38C5" w:rsidRPr="00E44599">
        <w:rPr>
          <w:lang w:val="en-CA"/>
        </w:rPr>
        <w:t xml:space="preserve">follow a reasonable temporal sequence from trial medication </w:t>
      </w:r>
      <w:r w:rsidR="008B38C5" w:rsidRPr="00FD5346">
        <w:rPr>
          <w:lang w:val="en-CA"/>
        </w:rPr>
        <w:t>administration</w:t>
      </w:r>
      <w:r>
        <w:rPr>
          <w:lang w:val="en-CA"/>
        </w:rPr>
        <w:t xml:space="preserve"> and </w:t>
      </w:r>
      <w:r w:rsidR="008B38C5" w:rsidRPr="00FD5346">
        <w:rPr>
          <w:lang w:val="en-CA"/>
        </w:rPr>
        <w:t xml:space="preserve">not reasonably be attributed to any other cause. </w:t>
      </w:r>
      <w:r w:rsidR="00C670B7">
        <w:rPr>
          <w:lang w:val="en-CA"/>
        </w:rPr>
        <w:t>R</w:t>
      </w:r>
      <w:r w:rsidR="00C670B7" w:rsidRPr="00A73C45">
        <w:rPr>
          <w:lang w:val="en-CA"/>
        </w:rPr>
        <w:t>ecognised adverse reactions to aspirin</w:t>
      </w:r>
      <w:r w:rsidR="00C670B7" w:rsidRPr="00FD5346" w:rsidDel="00CD713F">
        <w:rPr>
          <w:lang w:val="en-CA"/>
        </w:rPr>
        <w:t xml:space="preserve"> </w:t>
      </w:r>
      <w:r w:rsidR="00C670B7">
        <w:rPr>
          <w:lang w:val="en-CA"/>
        </w:rPr>
        <w:t xml:space="preserve">are listed in section 8.2 below.  </w:t>
      </w:r>
      <w:r>
        <w:rPr>
          <w:lang w:val="en-CA"/>
        </w:rPr>
        <w:t>S</w:t>
      </w:r>
      <w:r w:rsidR="008B38C5" w:rsidRPr="00FD5346">
        <w:rPr>
          <w:lang w:val="en-CA"/>
        </w:rPr>
        <w:t>tudy drugs will not be re-introduced in patients who have stopped treatment due to an adverse event.</w:t>
      </w:r>
      <w:r w:rsidR="008B38C5">
        <w:rPr>
          <w:lang w:val="en-CA"/>
        </w:rPr>
        <w:t xml:space="preserve"> Manag</w:t>
      </w:r>
      <w:r>
        <w:rPr>
          <w:lang w:val="en-CA"/>
        </w:rPr>
        <w:t>ement of</w:t>
      </w:r>
      <w:r w:rsidR="008B38C5">
        <w:rPr>
          <w:lang w:val="en-CA"/>
        </w:rPr>
        <w:t xml:space="preserve"> adverse events will follow normal care and current practic</w:t>
      </w:r>
      <w:r>
        <w:rPr>
          <w:lang w:val="en-CA"/>
        </w:rPr>
        <w:t>e</w:t>
      </w:r>
      <w:r w:rsidR="008B38C5">
        <w:rPr>
          <w:lang w:val="en-CA"/>
        </w:rPr>
        <w:t xml:space="preserve"> guidelines. </w:t>
      </w:r>
    </w:p>
    <w:p w:rsidR="008B38C5" w:rsidRPr="008B38C5" w:rsidRDefault="008B38C5" w:rsidP="00824CDF">
      <w:pPr>
        <w:pStyle w:val="NormalIndent"/>
        <w:ind w:left="0"/>
        <w:rPr>
          <w:b/>
          <w:lang w:val="en-CA"/>
        </w:rPr>
      </w:pPr>
    </w:p>
    <w:p w:rsidR="001A3D65" w:rsidRPr="00A73C45" w:rsidRDefault="00EA2D82" w:rsidP="001770D8">
      <w:pPr>
        <w:pStyle w:val="Heading1"/>
        <w:rPr>
          <w:lang w:val="en-CA"/>
        </w:rPr>
      </w:pPr>
      <w:bookmarkStart w:id="64" w:name="_Toc387306502"/>
      <w:r w:rsidRPr="00A73C45">
        <w:rPr>
          <w:lang w:val="en-CA"/>
        </w:rPr>
        <w:t>SAFETY REPORTING</w:t>
      </w:r>
      <w:bookmarkEnd w:id="64"/>
    </w:p>
    <w:p w:rsidR="00EA2D82" w:rsidRPr="00A73C45" w:rsidRDefault="001A3D65" w:rsidP="003A4A48">
      <w:pPr>
        <w:pStyle w:val="Heading2"/>
        <w:rPr>
          <w:lang w:val="en-CA"/>
        </w:rPr>
      </w:pPr>
      <w:r w:rsidRPr="00A73C45">
        <w:rPr>
          <w:lang w:val="en-CA"/>
        </w:rPr>
        <w:tab/>
      </w:r>
      <w:bookmarkStart w:id="65" w:name="_Toc387306503"/>
      <w:r w:rsidRPr="00A73C45">
        <w:rPr>
          <w:lang w:val="en-CA"/>
        </w:rPr>
        <w:t>D</w:t>
      </w:r>
      <w:r w:rsidR="00EA2D82" w:rsidRPr="00A73C45">
        <w:rPr>
          <w:lang w:val="en-CA"/>
        </w:rPr>
        <w:t>efinitions</w:t>
      </w:r>
      <w:bookmarkEnd w:id="65"/>
    </w:p>
    <w:p w:rsidR="007E4202" w:rsidRPr="00A73C45" w:rsidRDefault="00EA2D82" w:rsidP="00BA329F">
      <w:pPr>
        <w:rPr>
          <w:rFonts w:cs="Arial"/>
          <w:lang w:val="en-CA"/>
        </w:rPr>
      </w:pPr>
      <w:r w:rsidRPr="00A73C45">
        <w:rPr>
          <w:b/>
          <w:lang w:val="en-CA"/>
        </w:rPr>
        <w:t>Adverse Event (AE)</w:t>
      </w:r>
      <w:r w:rsidR="007E4202" w:rsidRPr="00A73C45">
        <w:rPr>
          <w:lang w:val="en-CA"/>
        </w:rPr>
        <w:t xml:space="preserve"> - </w:t>
      </w:r>
      <w:r w:rsidR="007E4202" w:rsidRPr="00A73C45">
        <w:rPr>
          <w:rFonts w:cs="Arial"/>
          <w:lang w:val="en-CA"/>
        </w:rPr>
        <w:t xml:space="preserve">is any </w:t>
      </w:r>
      <w:r w:rsidR="00354CA3" w:rsidRPr="00A73C45">
        <w:rPr>
          <w:rFonts w:cs="Arial"/>
          <w:lang w:val="en-CA"/>
        </w:rPr>
        <w:t>un</w:t>
      </w:r>
      <w:r w:rsidR="00354CA3">
        <w:rPr>
          <w:rFonts w:cs="Arial"/>
          <w:lang w:val="en-CA"/>
        </w:rPr>
        <w:t>toward medical</w:t>
      </w:r>
      <w:r w:rsidR="00354CA3" w:rsidRPr="00A73C45">
        <w:rPr>
          <w:rFonts w:cs="Arial"/>
          <w:lang w:val="en-CA"/>
        </w:rPr>
        <w:t xml:space="preserve"> </w:t>
      </w:r>
      <w:r w:rsidR="007E4202" w:rsidRPr="00A73C45">
        <w:rPr>
          <w:rFonts w:cs="Arial"/>
          <w:lang w:val="en-CA"/>
        </w:rPr>
        <w:t xml:space="preserve">event that occurs to a study participant during the course of </w:t>
      </w:r>
      <w:r w:rsidR="007E4202" w:rsidRPr="00184DED">
        <w:rPr>
          <w:rFonts w:cs="Arial"/>
          <w:lang w:val="en-CA"/>
        </w:rPr>
        <w:t>the study</w:t>
      </w:r>
      <w:r w:rsidR="007E4202" w:rsidRPr="00A73C45">
        <w:rPr>
          <w:rFonts w:cs="Arial"/>
          <w:lang w:val="en-CA"/>
        </w:rPr>
        <w:t xml:space="preserve"> whether or not that event is considered related to the study drug.</w:t>
      </w:r>
      <w:r w:rsidR="00DB4FED" w:rsidRPr="00A73C45">
        <w:rPr>
          <w:rFonts w:cs="Arial"/>
          <w:lang w:val="en-CA"/>
        </w:rPr>
        <w:t xml:space="preserve"> </w:t>
      </w:r>
      <w:r w:rsidR="00C10A6C">
        <w:rPr>
          <w:rFonts w:cs="Arial"/>
          <w:lang w:val="en-CA"/>
        </w:rPr>
        <w:t xml:space="preserve"> </w:t>
      </w:r>
      <w:r w:rsidR="007E4202" w:rsidRPr="00A73C45">
        <w:rPr>
          <w:rFonts w:cs="Arial"/>
          <w:snapToGrid w:val="0"/>
          <w:lang w:val="en-CA"/>
        </w:rPr>
        <w:t>An AE can, therefore, be any unfavorable and unintended sign (including an abnormal laboratory finding, for example), symptom, or disease temporally associated with the study drug, whether or not considered related to the study drug.</w:t>
      </w:r>
    </w:p>
    <w:p w:rsidR="007E4202" w:rsidRPr="00A73C45" w:rsidRDefault="007E4202" w:rsidP="007E4202">
      <w:pPr>
        <w:rPr>
          <w:rFonts w:cs="Arial"/>
          <w:lang w:val="en-CA"/>
        </w:rPr>
      </w:pPr>
      <w:r w:rsidRPr="00A73C45">
        <w:rPr>
          <w:rFonts w:cs="Arial"/>
          <w:lang w:val="en-CA"/>
        </w:rPr>
        <w:t xml:space="preserve">Stable chronic conditions, such as arthritis, which are present prior to clinical trial entry and </w:t>
      </w:r>
      <w:r w:rsidRPr="00A73C45">
        <w:rPr>
          <w:rFonts w:cs="Arial"/>
          <w:u w:val="single"/>
          <w:lang w:val="en-CA"/>
        </w:rPr>
        <w:t>do</w:t>
      </w:r>
      <w:r w:rsidR="00DB4FED" w:rsidRPr="00A73C45">
        <w:rPr>
          <w:rFonts w:cs="Arial"/>
          <w:u w:val="single"/>
          <w:lang w:val="en-CA"/>
        </w:rPr>
        <w:t xml:space="preserve"> </w:t>
      </w:r>
      <w:r w:rsidRPr="00A73C45">
        <w:rPr>
          <w:rFonts w:cs="Arial"/>
          <w:u w:val="single"/>
          <w:lang w:val="en-CA"/>
        </w:rPr>
        <w:t>not</w:t>
      </w:r>
      <w:r w:rsidR="00DB4FED" w:rsidRPr="00A73C45">
        <w:rPr>
          <w:rFonts w:cs="Arial"/>
          <w:u w:val="single"/>
          <w:lang w:val="en-CA"/>
        </w:rPr>
        <w:t xml:space="preserve"> </w:t>
      </w:r>
      <w:r w:rsidRPr="00A73C45">
        <w:rPr>
          <w:rFonts w:cs="Arial"/>
          <w:u w:val="single"/>
          <w:lang w:val="en-CA"/>
        </w:rPr>
        <w:t>worsen</w:t>
      </w:r>
      <w:r w:rsidRPr="00A73C45">
        <w:rPr>
          <w:rFonts w:cs="Arial"/>
          <w:lang w:val="en-CA"/>
        </w:rPr>
        <w:t xml:space="preserve"> are not considered AEs and will be documented in the subject’s clinical chart as medical history.  </w:t>
      </w:r>
    </w:p>
    <w:p w:rsidR="00CB3D0E" w:rsidRPr="00A73C45" w:rsidRDefault="007E4202" w:rsidP="007E4202">
      <w:pPr>
        <w:rPr>
          <w:rFonts w:cs="Arial"/>
          <w:lang w:val="en-CA"/>
        </w:rPr>
      </w:pPr>
      <w:r w:rsidRPr="00A73C45">
        <w:rPr>
          <w:rFonts w:cs="Arial"/>
          <w:lang w:val="en-CA"/>
        </w:rPr>
        <w:t xml:space="preserve">Clinical or </w:t>
      </w:r>
      <w:r w:rsidRPr="00B87E94">
        <w:rPr>
          <w:rFonts w:cs="Arial"/>
          <w:lang w:val="en-CA"/>
        </w:rPr>
        <w:t>laboratory events are considered adverse events only if they occur after the fi</w:t>
      </w:r>
      <w:r w:rsidR="00B87E94">
        <w:rPr>
          <w:rFonts w:cs="Arial"/>
          <w:lang w:val="en-CA"/>
        </w:rPr>
        <w:t>rst dose of study treatment</w:t>
      </w:r>
      <w:r w:rsidRPr="00B87E94">
        <w:rPr>
          <w:rFonts w:cs="Arial"/>
          <w:lang w:val="en-CA"/>
        </w:rPr>
        <w:t xml:space="preserve"> (</w:t>
      </w:r>
      <w:r w:rsidR="00DB4FED" w:rsidRPr="00B87E94">
        <w:rPr>
          <w:rFonts w:cs="Arial"/>
          <w:lang w:val="en-CA"/>
        </w:rPr>
        <w:t>s</w:t>
      </w:r>
      <w:r w:rsidRPr="00B87E94">
        <w:rPr>
          <w:rFonts w:cs="Arial"/>
          <w:lang w:val="en-CA"/>
        </w:rPr>
        <w:t>ee</w:t>
      </w:r>
      <w:r w:rsidRPr="00A73C45">
        <w:rPr>
          <w:rFonts w:cs="Arial"/>
          <w:lang w:val="en-CA"/>
        </w:rPr>
        <w:t xml:space="preserve"> below for repor</w:t>
      </w:r>
      <w:r w:rsidR="00833CB3">
        <w:rPr>
          <w:rFonts w:cs="Arial"/>
          <w:lang w:val="en-CA"/>
        </w:rPr>
        <w:tab/>
      </w:r>
      <w:r w:rsidRPr="00A73C45">
        <w:rPr>
          <w:rFonts w:cs="Arial"/>
          <w:lang w:val="en-CA"/>
        </w:rPr>
        <w:t>ting of adverse events)</w:t>
      </w:r>
      <w:r w:rsidR="00DB4FED" w:rsidRPr="00A73C45">
        <w:rPr>
          <w:rFonts w:cs="Arial"/>
          <w:lang w:val="en-CA"/>
        </w:rPr>
        <w:t>.</w:t>
      </w:r>
    </w:p>
    <w:p w:rsidR="00AD597D" w:rsidRPr="00A73C45" w:rsidRDefault="00AD597D" w:rsidP="007E4202">
      <w:pPr>
        <w:rPr>
          <w:rFonts w:cs="Arial"/>
          <w:lang w:val="en-CA"/>
        </w:rPr>
      </w:pPr>
    </w:p>
    <w:p w:rsidR="007E4202" w:rsidRPr="00A73C45" w:rsidRDefault="007E4202" w:rsidP="003A4A48">
      <w:pPr>
        <w:rPr>
          <w:lang w:val="en-CA"/>
        </w:rPr>
      </w:pPr>
      <w:bookmarkStart w:id="66" w:name="_Toc96830181"/>
      <w:bookmarkStart w:id="67" w:name="_Toc526395188"/>
      <w:bookmarkStart w:id="68" w:name="_Toc121100708"/>
      <w:bookmarkStart w:id="69" w:name="_Toc121100825"/>
      <w:bookmarkStart w:id="70" w:name="_Toc121101061"/>
      <w:bookmarkStart w:id="71" w:name="_Toc121101179"/>
      <w:bookmarkStart w:id="72" w:name="_Toc121101298"/>
      <w:bookmarkStart w:id="73" w:name="_Toc121101415"/>
      <w:bookmarkStart w:id="74" w:name="_Toc121134486"/>
      <w:bookmarkStart w:id="75" w:name="_Toc529587840"/>
      <w:bookmarkStart w:id="76" w:name="_Toc532465527"/>
      <w:bookmarkStart w:id="77" w:name="_Toc243888195"/>
      <w:bookmarkStart w:id="78" w:name="_Toc309392201"/>
      <w:bookmarkStart w:id="79" w:name="_Toc212179433"/>
      <w:r w:rsidRPr="00A73C45">
        <w:rPr>
          <w:lang w:val="en-CA"/>
        </w:rPr>
        <w:t>Serious Adverse Event</w:t>
      </w:r>
      <w:bookmarkEnd w:id="66"/>
      <w:bookmarkEnd w:id="67"/>
      <w:bookmarkEnd w:id="68"/>
      <w:bookmarkEnd w:id="69"/>
      <w:bookmarkEnd w:id="70"/>
      <w:bookmarkEnd w:id="71"/>
      <w:bookmarkEnd w:id="72"/>
      <w:bookmarkEnd w:id="73"/>
      <w:bookmarkEnd w:id="74"/>
      <w:bookmarkEnd w:id="75"/>
      <w:bookmarkEnd w:id="76"/>
      <w:r w:rsidRPr="00A73C45">
        <w:rPr>
          <w:lang w:val="en-CA"/>
        </w:rPr>
        <w:t>s</w:t>
      </w:r>
      <w:bookmarkEnd w:id="77"/>
      <w:bookmarkEnd w:id="78"/>
      <w:bookmarkEnd w:id="79"/>
      <w:r w:rsidRPr="00A73C45">
        <w:rPr>
          <w:lang w:val="en-CA"/>
        </w:rPr>
        <w:t xml:space="preserve"> - An AE is considered to be "serio</w:t>
      </w:r>
      <w:r w:rsidR="00AD597D" w:rsidRPr="00A73C45">
        <w:rPr>
          <w:lang w:val="en-CA"/>
        </w:rPr>
        <w:t xml:space="preserve">us" if it results in one of the </w:t>
      </w:r>
      <w:r w:rsidRPr="00A73C45">
        <w:rPr>
          <w:lang w:val="en-CA"/>
        </w:rPr>
        <w:t>following outcomes</w:t>
      </w:r>
    </w:p>
    <w:p w:rsidR="007E4202" w:rsidRPr="00A73C45" w:rsidRDefault="007E4202" w:rsidP="007E4202">
      <w:pPr>
        <w:widowControl w:val="0"/>
        <w:numPr>
          <w:ilvl w:val="0"/>
          <w:numId w:val="19"/>
        </w:numPr>
        <w:overflowPunct w:val="0"/>
        <w:autoSpaceDE w:val="0"/>
        <w:autoSpaceDN w:val="0"/>
        <w:adjustRightInd w:val="0"/>
        <w:textAlignment w:val="baseline"/>
        <w:rPr>
          <w:rFonts w:cs="Arial"/>
          <w:snapToGrid w:val="0"/>
          <w:lang w:val="en-CA"/>
        </w:rPr>
      </w:pPr>
      <w:r w:rsidRPr="00A73C45">
        <w:rPr>
          <w:rFonts w:cs="Arial"/>
          <w:snapToGrid w:val="0"/>
          <w:lang w:val="en-CA"/>
        </w:rPr>
        <w:t>Death,</w:t>
      </w:r>
    </w:p>
    <w:p w:rsidR="007E4202" w:rsidRPr="00A73C45" w:rsidRDefault="007E4202" w:rsidP="007E4202">
      <w:pPr>
        <w:widowControl w:val="0"/>
        <w:numPr>
          <w:ilvl w:val="0"/>
          <w:numId w:val="19"/>
        </w:numPr>
        <w:overflowPunct w:val="0"/>
        <w:autoSpaceDE w:val="0"/>
        <w:autoSpaceDN w:val="0"/>
        <w:adjustRightInd w:val="0"/>
        <w:textAlignment w:val="baseline"/>
        <w:rPr>
          <w:rFonts w:cs="Arial"/>
          <w:snapToGrid w:val="0"/>
          <w:lang w:val="en-CA"/>
        </w:rPr>
      </w:pPr>
      <w:r w:rsidRPr="00A73C45">
        <w:rPr>
          <w:rFonts w:cs="Arial"/>
          <w:snapToGrid w:val="0"/>
          <w:lang w:val="en-CA"/>
        </w:rPr>
        <w:t>Life-threatening event (the subject was at immediate risk of death at the time of the event; it does not refer to an event which hypothetically might have caused death if it were more severe),</w:t>
      </w:r>
    </w:p>
    <w:p w:rsidR="007E4202" w:rsidRPr="00A73C45" w:rsidRDefault="00C27A5A" w:rsidP="007E4202">
      <w:pPr>
        <w:widowControl w:val="0"/>
        <w:numPr>
          <w:ilvl w:val="0"/>
          <w:numId w:val="19"/>
        </w:numPr>
        <w:overflowPunct w:val="0"/>
        <w:autoSpaceDE w:val="0"/>
        <w:autoSpaceDN w:val="0"/>
        <w:adjustRightInd w:val="0"/>
        <w:textAlignment w:val="baseline"/>
        <w:rPr>
          <w:rFonts w:cs="Arial"/>
          <w:lang w:val="en-CA"/>
        </w:rPr>
      </w:pPr>
      <w:r w:rsidRPr="00C27A5A">
        <w:rPr>
          <w:rFonts w:cs="Arial"/>
          <w:snapToGrid w:val="0"/>
          <w:lang w:val="en-CA"/>
        </w:rPr>
        <w:t>I</w:t>
      </w:r>
      <w:r w:rsidR="007E4202" w:rsidRPr="00C27A5A">
        <w:rPr>
          <w:rFonts w:cs="Arial"/>
          <w:snapToGrid w:val="0"/>
          <w:lang w:val="en-CA"/>
        </w:rPr>
        <w:t>npatie</w:t>
      </w:r>
      <w:r w:rsidR="007E4202" w:rsidRPr="00A73C45">
        <w:rPr>
          <w:rFonts w:cs="Arial"/>
          <w:snapToGrid w:val="0"/>
          <w:lang w:val="en-CA"/>
        </w:rPr>
        <w:t xml:space="preserve">nt hospitalization </w:t>
      </w:r>
      <w:r>
        <w:rPr>
          <w:rFonts w:cs="Arial"/>
          <w:snapToGrid w:val="0"/>
          <w:lang w:val="en-CA"/>
        </w:rPr>
        <w:t xml:space="preserve">(new admissions) </w:t>
      </w:r>
      <w:r w:rsidR="007E4202" w:rsidRPr="00A73C45">
        <w:rPr>
          <w:rFonts w:cs="Arial"/>
          <w:snapToGrid w:val="0"/>
          <w:lang w:val="en-CA"/>
        </w:rPr>
        <w:t>or prolongation of existing hospitalization</w:t>
      </w:r>
      <w:r>
        <w:rPr>
          <w:rFonts w:cs="Arial"/>
          <w:snapToGrid w:val="0"/>
          <w:lang w:val="en-CA"/>
        </w:rPr>
        <w:t xml:space="preserve"> (beyond what is expected for normal clinical care)</w:t>
      </w:r>
    </w:p>
    <w:p w:rsidR="007E4202" w:rsidRPr="00A73C45" w:rsidRDefault="007E4202" w:rsidP="007E4202">
      <w:pPr>
        <w:widowControl w:val="0"/>
        <w:numPr>
          <w:ilvl w:val="0"/>
          <w:numId w:val="19"/>
        </w:numPr>
        <w:overflowPunct w:val="0"/>
        <w:autoSpaceDE w:val="0"/>
        <w:autoSpaceDN w:val="0"/>
        <w:adjustRightInd w:val="0"/>
        <w:textAlignment w:val="baseline"/>
        <w:rPr>
          <w:rFonts w:cs="Arial"/>
          <w:lang w:val="en-CA"/>
        </w:rPr>
      </w:pPr>
      <w:r w:rsidRPr="00A73C45">
        <w:rPr>
          <w:rFonts w:cs="Arial"/>
          <w:snapToGrid w:val="0"/>
          <w:lang w:val="en-CA"/>
        </w:rPr>
        <w:t>Persistent or significant disability/incapacity (</w:t>
      </w:r>
      <w:r w:rsidRPr="00A73C45">
        <w:rPr>
          <w:rFonts w:cs="Arial"/>
          <w:lang w:val="en-CA"/>
        </w:rPr>
        <w:t xml:space="preserve">a substantial disruption of a person's ability to conduct normal life functions), </w:t>
      </w:r>
    </w:p>
    <w:p w:rsidR="007E4202" w:rsidRPr="00A73C45" w:rsidRDefault="007E4202" w:rsidP="007E4202">
      <w:pPr>
        <w:widowControl w:val="0"/>
        <w:numPr>
          <w:ilvl w:val="0"/>
          <w:numId w:val="19"/>
        </w:numPr>
        <w:overflowPunct w:val="0"/>
        <w:autoSpaceDE w:val="0"/>
        <w:autoSpaceDN w:val="0"/>
        <w:adjustRightInd w:val="0"/>
        <w:textAlignment w:val="baseline"/>
        <w:rPr>
          <w:rFonts w:cs="Arial"/>
          <w:snapToGrid w:val="0"/>
          <w:lang w:val="en-CA"/>
        </w:rPr>
      </w:pPr>
      <w:r w:rsidRPr="00A73C45">
        <w:rPr>
          <w:rFonts w:cs="Arial"/>
          <w:snapToGrid w:val="0"/>
          <w:lang w:val="en-CA"/>
        </w:rPr>
        <w:t>Congenital anomaly/birth defect</w:t>
      </w:r>
    </w:p>
    <w:p w:rsidR="00305CF2" w:rsidRPr="00A73C45" w:rsidRDefault="00305CF2" w:rsidP="00305CF2">
      <w:pPr>
        <w:widowControl w:val="0"/>
        <w:overflowPunct w:val="0"/>
        <w:autoSpaceDE w:val="0"/>
        <w:autoSpaceDN w:val="0"/>
        <w:adjustRightInd w:val="0"/>
        <w:textAlignment w:val="baseline"/>
        <w:rPr>
          <w:rFonts w:cs="Arial"/>
          <w:snapToGrid w:val="0"/>
          <w:lang w:val="en-CA"/>
        </w:rPr>
      </w:pPr>
    </w:p>
    <w:p w:rsidR="00305CF2" w:rsidRPr="00A73C45" w:rsidRDefault="0000744A" w:rsidP="00305CF2">
      <w:pPr>
        <w:rPr>
          <w:rFonts w:cs="Arial"/>
          <w:lang w:val="en-CA"/>
        </w:rPr>
      </w:pPr>
      <w:r w:rsidRPr="00A73C45">
        <w:rPr>
          <w:rFonts w:cs="Arial"/>
          <w:lang w:val="en-CA"/>
        </w:rPr>
        <w:t>Any p</w:t>
      </w:r>
      <w:r w:rsidR="00305CF2" w:rsidRPr="00A73C45">
        <w:rPr>
          <w:rFonts w:cs="Arial"/>
          <w:lang w:val="en-CA"/>
        </w:rPr>
        <w:t>regnancy which occurs during the trial treatment period will be followed until outcom</w:t>
      </w:r>
      <w:r w:rsidRPr="00A73C45">
        <w:rPr>
          <w:rFonts w:cs="Arial"/>
          <w:lang w:val="en-CA"/>
        </w:rPr>
        <w:t>e.  Any congenital abnormality or birth defect</w:t>
      </w:r>
      <w:r w:rsidR="00305CF2" w:rsidRPr="00A73C45">
        <w:rPr>
          <w:rFonts w:cs="Arial"/>
          <w:lang w:val="en-CA"/>
        </w:rPr>
        <w:t xml:space="preserve"> will be recorded as a serious adverse event.</w:t>
      </w:r>
    </w:p>
    <w:p w:rsidR="009A4E90" w:rsidRPr="00A73C45" w:rsidRDefault="009A4E90" w:rsidP="00305CF2">
      <w:pPr>
        <w:widowControl w:val="0"/>
        <w:overflowPunct w:val="0"/>
        <w:autoSpaceDE w:val="0"/>
        <w:autoSpaceDN w:val="0"/>
        <w:adjustRightInd w:val="0"/>
        <w:ind w:left="360"/>
        <w:textAlignment w:val="baseline"/>
        <w:rPr>
          <w:rFonts w:cs="Arial"/>
          <w:snapToGrid w:val="0"/>
          <w:lang w:val="en-CA"/>
        </w:rPr>
      </w:pPr>
    </w:p>
    <w:p w:rsidR="007E4202" w:rsidRPr="00A73C45" w:rsidRDefault="007E4202" w:rsidP="007E4202">
      <w:pPr>
        <w:rPr>
          <w:lang w:val="en-CA"/>
        </w:rPr>
      </w:pPr>
      <w:bookmarkStart w:id="80" w:name="_Toc309392202"/>
      <w:bookmarkStart w:id="81" w:name="_Toc212179434"/>
      <w:bookmarkStart w:id="82" w:name="_Toc96830182"/>
      <w:bookmarkStart w:id="83" w:name="_Toc526395189"/>
      <w:bookmarkStart w:id="84" w:name="_Toc121134487"/>
      <w:bookmarkStart w:id="85" w:name="_Toc529587841"/>
      <w:bookmarkStart w:id="86" w:name="_Toc532465528"/>
      <w:bookmarkStart w:id="87" w:name="_Toc243888196"/>
      <w:r w:rsidRPr="00A73C45">
        <w:rPr>
          <w:b/>
          <w:lang w:val="en-CA"/>
        </w:rPr>
        <w:t>Unexpected Serious Adverse Events</w:t>
      </w:r>
      <w:bookmarkEnd w:id="80"/>
      <w:bookmarkEnd w:id="81"/>
      <w:r w:rsidRPr="00A73C45">
        <w:rPr>
          <w:lang w:val="en-CA"/>
        </w:rPr>
        <w:t xml:space="preserve"> - are untoward medical events which fit one or more of the criteria for SAEs above and which are not considered a part of normal clinical progression of disease or an expected reaction to standard treatment therapy.  Any event that becomes of concern to the investigators or study doctors during the course of the trial may be reported as a USAE. </w:t>
      </w:r>
    </w:p>
    <w:p w:rsidR="004A197B" w:rsidRPr="00A73C45" w:rsidRDefault="004A197B" w:rsidP="007E4202">
      <w:pPr>
        <w:rPr>
          <w:lang w:val="en-CA"/>
        </w:rPr>
      </w:pPr>
    </w:p>
    <w:p w:rsidR="007E4202" w:rsidRPr="00A73C45" w:rsidRDefault="007E4202" w:rsidP="003A4A48">
      <w:pPr>
        <w:pStyle w:val="Heading2"/>
        <w:rPr>
          <w:lang w:val="en-CA"/>
        </w:rPr>
      </w:pPr>
      <w:bookmarkStart w:id="88" w:name="_Toc309392203"/>
      <w:bookmarkStart w:id="89" w:name="_Toc212179435"/>
      <w:bookmarkStart w:id="90" w:name="_Toc387306504"/>
      <w:r w:rsidRPr="00A73C45">
        <w:rPr>
          <w:lang w:val="en-CA"/>
        </w:rPr>
        <w:t>Assessment of Adverse Event</w:t>
      </w:r>
      <w:bookmarkEnd w:id="82"/>
      <w:bookmarkEnd w:id="83"/>
      <w:bookmarkEnd w:id="84"/>
      <w:bookmarkEnd w:id="85"/>
      <w:bookmarkEnd w:id="86"/>
      <w:r w:rsidRPr="00A73C45">
        <w:rPr>
          <w:lang w:val="en-CA"/>
        </w:rPr>
        <w:t>s</w:t>
      </w:r>
      <w:bookmarkEnd w:id="87"/>
      <w:bookmarkEnd w:id="88"/>
      <w:bookmarkEnd w:id="89"/>
      <w:bookmarkEnd w:id="90"/>
    </w:p>
    <w:p w:rsidR="007E4202" w:rsidRPr="00A73C45" w:rsidRDefault="007E4202" w:rsidP="00BA329F">
      <w:pPr>
        <w:jc w:val="left"/>
        <w:rPr>
          <w:rFonts w:cs="Arial"/>
          <w:snapToGrid w:val="0"/>
          <w:lang w:val="en-CA"/>
        </w:rPr>
      </w:pPr>
      <w:r w:rsidRPr="00A73C45">
        <w:rPr>
          <w:rFonts w:cs="Arial"/>
          <w:lang w:val="en-CA"/>
        </w:rPr>
        <w:t xml:space="preserve">Adverse events will be </w:t>
      </w:r>
      <w:r w:rsidR="00F4637C" w:rsidRPr="00A73C45">
        <w:rPr>
          <w:rFonts w:cs="Arial"/>
          <w:lang w:val="en-CA"/>
        </w:rPr>
        <w:t>graded</w:t>
      </w:r>
      <w:r w:rsidRPr="00A73C45">
        <w:rPr>
          <w:rFonts w:cs="Arial"/>
          <w:lang w:val="en-CA"/>
        </w:rPr>
        <w:t xml:space="preserve"> according to the Common Terminology Criteria for Adverse Events (CTCAE) definitions: </w:t>
      </w:r>
      <w:hyperlink r:id="rId16" w:history="1">
        <w:r w:rsidRPr="00A73C45">
          <w:rPr>
            <w:rStyle w:val="Hyperlink"/>
            <w:rFonts w:cs="Arial"/>
            <w:lang w:val="en-CA"/>
          </w:rPr>
          <w:t>http://ctep.cancer.gov/protocolDevelopment/electronic_applications/ctc.htm</w:t>
        </w:r>
      </w:hyperlink>
      <w:r w:rsidRPr="00A73C45">
        <w:rPr>
          <w:rFonts w:cs="Arial"/>
          <w:lang w:val="en-CA"/>
        </w:rPr>
        <w:t>. In the event that an adverse event</w:t>
      </w:r>
      <w:r w:rsidRPr="00A73C45">
        <w:rPr>
          <w:rFonts w:cs="Arial"/>
          <w:snapToGrid w:val="0"/>
          <w:lang w:val="en-CA"/>
        </w:rPr>
        <w:t xml:space="preserve"> is not described within the CTCAE definitions, the following generic severity grading will be used:  </w:t>
      </w:r>
    </w:p>
    <w:p w:rsidR="007E4202" w:rsidRPr="00A73C45" w:rsidRDefault="007E4202" w:rsidP="007E4202">
      <w:pPr>
        <w:pStyle w:val="ListParagraph"/>
        <w:spacing w:after="120"/>
        <w:jc w:val="both"/>
        <w:rPr>
          <w:rFonts w:ascii="Arial" w:hAnsi="Arial" w:cs="Arial"/>
          <w:szCs w:val="22"/>
          <w:lang w:val="en-CA"/>
        </w:rPr>
      </w:pPr>
      <w:r w:rsidRPr="00A73C45">
        <w:rPr>
          <w:rFonts w:ascii="Arial" w:hAnsi="Arial" w:cs="Arial"/>
          <w:b/>
          <w:szCs w:val="22"/>
          <w:lang w:val="en-CA"/>
        </w:rPr>
        <w:t xml:space="preserve">Grade 1 Mild; </w:t>
      </w:r>
      <w:r w:rsidRPr="00A73C45">
        <w:rPr>
          <w:rFonts w:ascii="Arial" w:hAnsi="Arial" w:cs="Arial"/>
          <w:szCs w:val="22"/>
          <w:lang w:val="en-CA"/>
        </w:rPr>
        <w:t>asymptomatic or mild symptoms; clinical or diagnostic observations only; intervention not indicated.</w:t>
      </w:r>
    </w:p>
    <w:p w:rsidR="007E4202" w:rsidRPr="00A73C45" w:rsidRDefault="007E4202" w:rsidP="007E4202">
      <w:pPr>
        <w:pStyle w:val="ListParagraph"/>
        <w:spacing w:after="120"/>
        <w:jc w:val="both"/>
        <w:rPr>
          <w:rFonts w:ascii="Arial" w:hAnsi="Arial" w:cs="Arial"/>
          <w:szCs w:val="22"/>
          <w:lang w:val="en-CA"/>
        </w:rPr>
      </w:pPr>
      <w:r w:rsidRPr="00A73C45">
        <w:rPr>
          <w:rFonts w:ascii="Arial" w:hAnsi="Arial" w:cs="Arial"/>
          <w:b/>
          <w:szCs w:val="22"/>
          <w:lang w:val="en-CA"/>
        </w:rPr>
        <w:t xml:space="preserve">Grade 2 Moderate; </w:t>
      </w:r>
      <w:r w:rsidRPr="00A73C45">
        <w:rPr>
          <w:rFonts w:ascii="Arial" w:hAnsi="Arial" w:cs="Arial"/>
          <w:szCs w:val="22"/>
          <w:lang w:val="en-CA"/>
        </w:rPr>
        <w:t>minimal, local or noninvasive intervention indicated; limiting age-appropriate instrumental Activities of Daily Living (ADL)*.</w:t>
      </w:r>
    </w:p>
    <w:p w:rsidR="007E4202" w:rsidRPr="00A73C45" w:rsidRDefault="007E4202" w:rsidP="007E4202">
      <w:pPr>
        <w:pStyle w:val="ListParagraph"/>
        <w:spacing w:after="120"/>
        <w:jc w:val="both"/>
        <w:rPr>
          <w:rFonts w:ascii="Arial" w:hAnsi="Arial" w:cs="Arial"/>
          <w:szCs w:val="22"/>
          <w:lang w:val="en-CA"/>
        </w:rPr>
      </w:pPr>
      <w:r w:rsidRPr="00A73C45">
        <w:rPr>
          <w:rFonts w:ascii="Arial" w:hAnsi="Arial" w:cs="Arial"/>
          <w:b/>
          <w:szCs w:val="22"/>
          <w:lang w:val="en-CA"/>
        </w:rPr>
        <w:t>Grade 3 Severe</w:t>
      </w:r>
      <w:r w:rsidR="00DB4FED" w:rsidRPr="00A73C45">
        <w:rPr>
          <w:rFonts w:ascii="Arial" w:hAnsi="Arial" w:cs="Arial"/>
          <w:b/>
          <w:szCs w:val="22"/>
          <w:lang w:val="en-CA"/>
        </w:rPr>
        <w:t xml:space="preserve"> </w:t>
      </w:r>
      <w:r w:rsidRPr="00A73C45">
        <w:rPr>
          <w:rFonts w:ascii="Arial" w:hAnsi="Arial" w:cs="Arial"/>
          <w:b/>
          <w:szCs w:val="22"/>
          <w:lang w:val="en-CA"/>
        </w:rPr>
        <w:t>or medically significant but not immediately life-threatening;</w:t>
      </w:r>
      <w:r w:rsidRPr="00A73C45">
        <w:rPr>
          <w:rFonts w:ascii="Arial" w:hAnsi="Arial" w:cs="Arial"/>
          <w:szCs w:val="22"/>
          <w:lang w:val="en-CA"/>
        </w:rPr>
        <w:t xml:space="preserve"> hospitalization or prolongation of hospitalization indicated; disabling; limiting self care ADL**.</w:t>
      </w:r>
    </w:p>
    <w:p w:rsidR="007E4202" w:rsidRPr="00A73C45" w:rsidRDefault="007E4202" w:rsidP="007E4202">
      <w:pPr>
        <w:pStyle w:val="ListParagraph"/>
        <w:spacing w:after="120"/>
        <w:jc w:val="both"/>
        <w:rPr>
          <w:rFonts w:ascii="Arial" w:hAnsi="Arial" w:cs="Arial"/>
          <w:szCs w:val="22"/>
          <w:lang w:val="en-CA"/>
        </w:rPr>
      </w:pPr>
      <w:r w:rsidRPr="00A73C45">
        <w:rPr>
          <w:rFonts w:ascii="Arial" w:hAnsi="Arial" w:cs="Arial"/>
          <w:b/>
          <w:szCs w:val="22"/>
          <w:lang w:val="en-CA"/>
        </w:rPr>
        <w:t>Grade 4 Life-threatening consequences</w:t>
      </w:r>
      <w:r w:rsidRPr="00A73C45">
        <w:rPr>
          <w:rFonts w:ascii="Arial" w:hAnsi="Arial" w:cs="Arial"/>
          <w:szCs w:val="22"/>
          <w:lang w:val="en-CA"/>
        </w:rPr>
        <w:t>; urgent intervention indicated.</w:t>
      </w:r>
    </w:p>
    <w:p w:rsidR="007E4202" w:rsidRPr="00A73C45" w:rsidRDefault="007E4202" w:rsidP="007E4202">
      <w:pPr>
        <w:pStyle w:val="ListParagraph"/>
        <w:jc w:val="both"/>
        <w:rPr>
          <w:rFonts w:ascii="Arial" w:hAnsi="Arial" w:cs="Arial"/>
          <w:szCs w:val="22"/>
          <w:lang w:val="en-CA"/>
        </w:rPr>
      </w:pPr>
      <w:r w:rsidRPr="00A73C45">
        <w:rPr>
          <w:rFonts w:ascii="Arial" w:hAnsi="Arial" w:cs="Arial"/>
          <w:szCs w:val="22"/>
          <w:lang w:val="en-CA"/>
        </w:rPr>
        <w:t>*Instrumental ADL refer to preparing meals, shopping for groceries or clothes, using the telephone, managing money, etc.</w:t>
      </w:r>
    </w:p>
    <w:p w:rsidR="007E4202" w:rsidRPr="00A73C45" w:rsidRDefault="007E4202" w:rsidP="00CA2DAB">
      <w:pPr>
        <w:pStyle w:val="ListParagraph"/>
        <w:jc w:val="both"/>
        <w:rPr>
          <w:rFonts w:ascii="Arial" w:hAnsi="Arial" w:cs="Arial"/>
          <w:szCs w:val="22"/>
          <w:lang w:val="en-CA"/>
        </w:rPr>
      </w:pPr>
      <w:r w:rsidRPr="00A73C45">
        <w:rPr>
          <w:rFonts w:ascii="Arial" w:hAnsi="Arial" w:cs="Arial"/>
          <w:szCs w:val="22"/>
          <w:lang w:val="en-CA"/>
        </w:rPr>
        <w:t>**Self</w:t>
      </w:r>
      <w:r w:rsidR="00B46C8D" w:rsidRPr="00A73C45">
        <w:rPr>
          <w:rFonts w:ascii="Arial" w:hAnsi="Arial" w:cs="Arial"/>
          <w:szCs w:val="22"/>
          <w:lang w:val="en-CA"/>
        </w:rPr>
        <w:t>-</w:t>
      </w:r>
      <w:r w:rsidRPr="00A73C45">
        <w:rPr>
          <w:rFonts w:ascii="Arial" w:hAnsi="Arial" w:cs="Arial"/>
          <w:szCs w:val="22"/>
          <w:lang w:val="en-CA"/>
        </w:rPr>
        <w:t>care ADL refer to bathing, dressing and undressing, feeding self, using the toilet, taking medications, and not bedridden.</w:t>
      </w:r>
    </w:p>
    <w:p w:rsidR="007E4202" w:rsidRPr="00A73C45" w:rsidRDefault="007E4202" w:rsidP="007E4202">
      <w:pPr>
        <w:widowControl w:val="0"/>
        <w:overflowPunct w:val="0"/>
        <w:autoSpaceDE w:val="0"/>
        <w:autoSpaceDN w:val="0"/>
        <w:adjustRightInd w:val="0"/>
        <w:textAlignment w:val="baseline"/>
        <w:rPr>
          <w:rFonts w:cs="Arial"/>
          <w:lang w:val="en-CA"/>
        </w:rPr>
      </w:pPr>
      <w:r w:rsidRPr="00A73C45">
        <w:rPr>
          <w:rFonts w:cs="Arial"/>
          <w:lang w:val="en-CA"/>
        </w:rPr>
        <w:t xml:space="preserve"> [Note:  “Life-threatening” as a severity grade is not necessarily the same as “life-threatening” as a “serious” criterion used to define a serious adverse event.  The former is a “potential” threat to life and the latter is an “immediate” threat to life.]</w:t>
      </w:r>
    </w:p>
    <w:p w:rsidR="007E4202" w:rsidRPr="00A73C45" w:rsidRDefault="007E4202" w:rsidP="007E4202">
      <w:pPr>
        <w:widowControl w:val="0"/>
        <w:overflowPunct w:val="0"/>
        <w:autoSpaceDE w:val="0"/>
        <w:autoSpaceDN w:val="0"/>
        <w:adjustRightInd w:val="0"/>
        <w:ind w:left="360"/>
        <w:textAlignment w:val="baseline"/>
        <w:rPr>
          <w:rFonts w:cs="Arial"/>
          <w:lang w:val="en-CA"/>
        </w:rPr>
      </w:pPr>
    </w:p>
    <w:p w:rsidR="007E4202" w:rsidRPr="00A73C45" w:rsidRDefault="007E4202" w:rsidP="007E4202">
      <w:pPr>
        <w:rPr>
          <w:lang w:val="en-CA"/>
        </w:rPr>
      </w:pPr>
      <w:r w:rsidRPr="00A73C45">
        <w:rPr>
          <w:rFonts w:cs="Arial"/>
          <w:lang w:val="en-CA"/>
        </w:rPr>
        <w:t xml:space="preserve">A </w:t>
      </w:r>
      <w:r w:rsidRPr="00314DB6">
        <w:rPr>
          <w:rFonts w:cs="Arial"/>
          <w:lang w:val="en-CA"/>
        </w:rPr>
        <w:t>lab</w:t>
      </w:r>
      <w:r w:rsidRPr="00314DB6">
        <w:rPr>
          <w:lang w:val="en-CA"/>
        </w:rPr>
        <w:t>oratory abnormality</w:t>
      </w:r>
      <w:r w:rsidRPr="00A73C45">
        <w:rPr>
          <w:lang w:val="en-CA"/>
        </w:rPr>
        <w:t xml:space="preserve"> only needs to be recorded as a clinical adverse event if it is associated with an intervention.  Intervention includes, but is not limited to, discontinuation of a current treatment, dose reduction/delay of a current treatment, or initiation of a specific treatment. In addition, any medically important laboratory abnormality may be reported as an adverse event at the discretion of the investigator. This would include a laboratory result for which there is no intervention but the abnormal value suggests disease or organ toxicity.  Laboratory events will be graded according to CTCAE definitions.</w:t>
      </w:r>
    </w:p>
    <w:p w:rsidR="007E4202" w:rsidRPr="00A73C45" w:rsidRDefault="007E4202" w:rsidP="007E4202">
      <w:pPr>
        <w:rPr>
          <w:rFonts w:cs="Arial"/>
          <w:bCs/>
          <w:lang w:val="en-CA"/>
        </w:rPr>
      </w:pPr>
      <w:r w:rsidRPr="00A73C45">
        <w:rPr>
          <w:rFonts w:cs="Arial"/>
          <w:bCs/>
          <w:lang w:val="en-CA"/>
        </w:rPr>
        <w:lastRenderedPageBreak/>
        <w:t>If clinical sequelae are associated with a laboratory abnormality, the diagnosis or medical condition should be reported as the adverse event (e.g., renal failure, haematuria) - not the laboratory abnormality (e.g., elevated creatinine, urine RBC increase).</w:t>
      </w:r>
    </w:p>
    <w:p w:rsidR="009A4E90" w:rsidRPr="00A73C45" w:rsidRDefault="009A4E90" w:rsidP="007E4202">
      <w:pPr>
        <w:rPr>
          <w:rFonts w:cs="Arial"/>
          <w:bCs/>
          <w:lang w:val="en-CA"/>
        </w:rPr>
      </w:pPr>
    </w:p>
    <w:p w:rsidR="009A4E90" w:rsidRPr="00A73C45" w:rsidRDefault="009A4E90" w:rsidP="009A4E90">
      <w:pPr>
        <w:pStyle w:val="NormalIndent"/>
        <w:ind w:left="0"/>
        <w:rPr>
          <w:lang w:val="en-CA"/>
        </w:rPr>
      </w:pPr>
      <w:r w:rsidRPr="00A73C45">
        <w:rPr>
          <w:lang w:val="en-CA"/>
        </w:rPr>
        <w:t>The relationship of each adverse event to the trial medication must be determined by a medically qualified individual according to the following definitions:</w:t>
      </w:r>
    </w:p>
    <w:p w:rsidR="009A4E90" w:rsidRPr="00A73C45" w:rsidRDefault="009A4E90" w:rsidP="009A4E90">
      <w:pPr>
        <w:pStyle w:val="NormalIndent"/>
        <w:rPr>
          <w:lang w:val="en-CA"/>
        </w:rPr>
      </w:pPr>
      <w:r w:rsidRPr="00A73C45">
        <w:rPr>
          <w:b/>
          <w:bCs/>
          <w:lang w:val="en-CA"/>
        </w:rPr>
        <w:t>Related</w:t>
      </w:r>
      <w:r w:rsidRPr="00A73C45">
        <w:rPr>
          <w:lang w:val="en-CA"/>
        </w:rPr>
        <w:t>: The adverse event follows a reasonable temporal sequence from trial medication administration. It cannot reasonably be attributed to any other cause.</w:t>
      </w:r>
    </w:p>
    <w:p w:rsidR="009A4E90" w:rsidRPr="00A73C45" w:rsidRDefault="009A4E90" w:rsidP="009A4E90">
      <w:pPr>
        <w:pStyle w:val="NormalIndent"/>
        <w:rPr>
          <w:lang w:val="en-CA"/>
        </w:rPr>
      </w:pPr>
      <w:r w:rsidRPr="00A73C45">
        <w:rPr>
          <w:b/>
          <w:bCs/>
          <w:lang w:val="en-CA"/>
        </w:rPr>
        <w:t>Not Related</w:t>
      </w:r>
      <w:r w:rsidRPr="00A73C45">
        <w:rPr>
          <w:lang w:val="en-CA"/>
        </w:rPr>
        <w:t xml:space="preserve">: The adverse event is probably produced by the participant’s clinical state or by other modes of therapy administered to the participant. </w:t>
      </w:r>
    </w:p>
    <w:p w:rsidR="0057008E" w:rsidRPr="00A73C45" w:rsidRDefault="0057008E" w:rsidP="009A4E90">
      <w:pPr>
        <w:pStyle w:val="NormalIndent"/>
        <w:rPr>
          <w:lang w:val="en-CA"/>
        </w:rPr>
      </w:pPr>
    </w:p>
    <w:p w:rsidR="004A197B" w:rsidRPr="00A73C45" w:rsidRDefault="0057008E" w:rsidP="004A197B">
      <w:pPr>
        <w:pStyle w:val="NormalIndent"/>
        <w:ind w:left="0"/>
        <w:rPr>
          <w:lang w:val="en-CA"/>
        </w:rPr>
      </w:pPr>
      <w:r w:rsidRPr="00A73C45">
        <w:rPr>
          <w:rFonts w:cs="Arial"/>
          <w:lang w:val="en-CA"/>
        </w:rPr>
        <w:t xml:space="preserve">Patients will be under active surveillance for adverse events. </w:t>
      </w:r>
      <w:r w:rsidR="004A197B" w:rsidRPr="00A73C45">
        <w:rPr>
          <w:rFonts w:cs="Arial"/>
          <w:lang w:val="en-CA"/>
        </w:rPr>
        <w:t xml:space="preserve">All adverse events will be scored as </w:t>
      </w:r>
      <w:r w:rsidR="00DB4FED" w:rsidRPr="00A73C45">
        <w:rPr>
          <w:rFonts w:cs="Arial"/>
          <w:lang w:val="en-CA"/>
        </w:rPr>
        <w:t>not related, p</w:t>
      </w:r>
      <w:r w:rsidR="004A197B" w:rsidRPr="00A73C45">
        <w:rPr>
          <w:lang w:val="en-CA"/>
        </w:rPr>
        <w:t xml:space="preserve">ossibly </w:t>
      </w:r>
      <w:r w:rsidR="00DB4FED" w:rsidRPr="00A73C45">
        <w:rPr>
          <w:lang w:val="en-CA"/>
        </w:rPr>
        <w:t>r</w:t>
      </w:r>
      <w:r w:rsidR="009A4E90" w:rsidRPr="00A73C45">
        <w:rPr>
          <w:lang w:val="en-CA"/>
        </w:rPr>
        <w:t>elated</w:t>
      </w:r>
      <w:r w:rsidR="00DB4FED" w:rsidRPr="00A73C45">
        <w:rPr>
          <w:lang w:val="en-CA"/>
        </w:rPr>
        <w:t>, or r</w:t>
      </w:r>
      <w:r w:rsidR="009A4E90" w:rsidRPr="00A73C45">
        <w:rPr>
          <w:lang w:val="en-CA"/>
        </w:rPr>
        <w:t>elated</w:t>
      </w:r>
      <w:r w:rsidR="004A197B" w:rsidRPr="00A73C45">
        <w:rPr>
          <w:lang w:val="en-CA"/>
        </w:rPr>
        <w:t xml:space="preserve"> to the study drug.</w:t>
      </w:r>
      <w:r w:rsidRPr="00A73C45">
        <w:rPr>
          <w:lang w:val="en-CA"/>
        </w:rPr>
        <w:t xml:space="preserve"> The events </w:t>
      </w:r>
      <w:r w:rsidR="0000744A" w:rsidRPr="00A73C45">
        <w:rPr>
          <w:lang w:val="en-CA"/>
        </w:rPr>
        <w:t>listed below, and any others agreed between the treating doctor and Principal Investigator</w:t>
      </w:r>
      <w:r w:rsidR="00DB4FED" w:rsidRPr="00A73C45">
        <w:rPr>
          <w:lang w:val="en-CA"/>
        </w:rPr>
        <w:t>,</w:t>
      </w:r>
      <w:r w:rsidR="0000744A" w:rsidRPr="00A73C45">
        <w:rPr>
          <w:lang w:val="en-CA"/>
        </w:rPr>
        <w:t xml:space="preserve"> </w:t>
      </w:r>
      <w:r w:rsidR="00DB4FED" w:rsidRPr="00A73C45">
        <w:rPr>
          <w:lang w:val="en-CA"/>
        </w:rPr>
        <w:t>are recognised adverse reactions to aspirin may</w:t>
      </w:r>
      <w:r w:rsidRPr="00A73C45">
        <w:rPr>
          <w:lang w:val="en-CA"/>
        </w:rPr>
        <w:t xml:space="preserve"> be conside</w:t>
      </w:r>
      <w:r w:rsidR="00DB4FED" w:rsidRPr="00A73C45">
        <w:rPr>
          <w:lang w:val="en-CA"/>
        </w:rPr>
        <w:t>red r</w:t>
      </w:r>
      <w:r w:rsidRPr="00A73C45">
        <w:rPr>
          <w:lang w:val="en-CA"/>
        </w:rPr>
        <w:t xml:space="preserve">elated </w:t>
      </w:r>
      <w:r w:rsidR="00CB3D0E" w:rsidRPr="00A73C45">
        <w:rPr>
          <w:lang w:val="en-CA"/>
        </w:rPr>
        <w:t>to the trial intervention:</w:t>
      </w:r>
    </w:p>
    <w:p w:rsidR="0057008E" w:rsidRPr="00A73C45" w:rsidRDefault="0057008E" w:rsidP="0057008E">
      <w:pPr>
        <w:pStyle w:val="NormalWeb"/>
        <w:spacing w:line="360" w:lineRule="auto"/>
        <w:ind w:left="720"/>
        <w:rPr>
          <w:rFonts w:ascii="Arial" w:hAnsi="Arial" w:cs="Arial"/>
          <w:sz w:val="22"/>
          <w:szCs w:val="22"/>
          <w:lang w:val="en-CA"/>
        </w:rPr>
      </w:pPr>
      <w:r w:rsidRPr="00A73C45">
        <w:rPr>
          <w:rFonts w:ascii="Arial" w:hAnsi="Arial" w:cs="Arial"/>
          <w:b/>
          <w:bCs/>
          <w:sz w:val="22"/>
          <w:szCs w:val="22"/>
          <w:lang w:val="en-CA"/>
        </w:rPr>
        <w:t xml:space="preserve">Blood and lymphatic system disorders </w:t>
      </w:r>
      <w:r w:rsidRPr="00A73C45">
        <w:rPr>
          <w:rFonts w:ascii="Arial" w:hAnsi="Arial" w:cs="Arial"/>
          <w:sz w:val="22"/>
          <w:szCs w:val="22"/>
          <w:lang w:val="en-CA"/>
        </w:rPr>
        <w:t xml:space="preserve">- anaemia, haemolytic anaemia, hypoprothrombinaemia, thrombocytopenia, aplastic anaemia, pancytopenia, prolonged bleeding time, occult blood loss, elevated transaminase levels, agranulocytosis. </w:t>
      </w:r>
    </w:p>
    <w:p w:rsidR="0057008E" w:rsidRPr="00A73C45" w:rsidRDefault="0057008E" w:rsidP="0057008E">
      <w:pPr>
        <w:pStyle w:val="NormalWeb"/>
        <w:spacing w:line="360" w:lineRule="auto"/>
        <w:ind w:left="720"/>
        <w:rPr>
          <w:rFonts w:ascii="Arial" w:hAnsi="Arial" w:cs="Arial"/>
          <w:sz w:val="22"/>
          <w:szCs w:val="22"/>
          <w:lang w:val="en-CA"/>
        </w:rPr>
      </w:pPr>
      <w:r w:rsidRPr="00A73C45">
        <w:rPr>
          <w:rFonts w:ascii="Arial" w:hAnsi="Arial" w:cs="Arial"/>
          <w:b/>
          <w:bCs/>
          <w:sz w:val="22"/>
          <w:szCs w:val="22"/>
          <w:lang w:val="en-CA"/>
        </w:rPr>
        <w:t xml:space="preserve">Gastrointestinal disorders </w:t>
      </w:r>
      <w:r w:rsidRPr="00A73C45">
        <w:rPr>
          <w:rFonts w:ascii="Arial" w:hAnsi="Arial" w:cs="Arial"/>
          <w:sz w:val="22"/>
          <w:szCs w:val="22"/>
          <w:lang w:val="en-CA"/>
        </w:rPr>
        <w:t>- gastrointestinal bleeding, erosions, perforations or ulceration which can occasionally be major (may develop bloody or black tarry stools, severe stomach pain and vomiting blood), gastrointestinal irritation (mild stomach pain, heartburn, vomiting and na</w:t>
      </w:r>
      <w:r w:rsidR="00DB4FED" w:rsidRPr="00A73C45">
        <w:rPr>
          <w:rFonts w:ascii="Arial" w:hAnsi="Arial" w:cs="Arial"/>
          <w:sz w:val="22"/>
          <w:szCs w:val="22"/>
          <w:lang w:val="en-CA"/>
        </w:rPr>
        <w:t>usea).</w:t>
      </w:r>
      <w:r w:rsidRPr="00A73C45">
        <w:rPr>
          <w:rFonts w:ascii="Arial" w:hAnsi="Arial" w:cs="Arial"/>
          <w:sz w:val="22"/>
          <w:szCs w:val="22"/>
          <w:lang w:val="en-CA"/>
        </w:rPr>
        <w:t xml:space="preserve"> </w:t>
      </w:r>
    </w:p>
    <w:p w:rsidR="0057008E" w:rsidRPr="00A73C45" w:rsidRDefault="0057008E" w:rsidP="0057008E">
      <w:pPr>
        <w:pStyle w:val="NormalWeb"/>
        <w:spacing w:line="360" w:lineRule="auto"/>
        <w:ind w:left="720"/>
        <w:rPr>
          <w:rFonts w:ascii="Arial" w:hAnsi="Arial" w:cs="Arial"/>
          <w:sz w:val="22"/>
          <w:szCs w:val="22"/>
          <w:lang w:val="en-CA"/>
        </w:rPr>
      </w:pPr>
      <w:r w:rsidRPr="00A73C45">
        <w:rPr>
          <w:rFonts w:ascii="Arial" w:hAnsi="Arial" w:cs="Arial"/>
          <w:b/>
          <w:bCs/>
          <w:sz w:val="22"/>
          <w:szCs w:val="22"/>
          <w:lang w:val="en-CA"/>
        </w:rPr>
        <w:t>Hepatic disorders</w:t>
      </w:r>
      <w:r w:rsidRPr="00A73C45">
        <w:rPr>
          <w:rFonts w:ascii="Arial" w:hAnsi="Arial" w:cs="Arial"/>
          <w:sz w:val="22"/>
          <w:szCs w:val="22"/>
          <w:lang w:val="en-CA"/>
        </w:rPr>
        <w:t xml:space="preserve"> - hepatitis (particularly in patients with SLE or connective tissue disease) </w:t>
      </w:r>
    </w:p>
    <w:p w:rsidR="0057008E" w:rsidRPr="00A73C45" w:rsidRDefault="0057008E" w:rsidP="0057008E">
      <w:pPr>
        <w:pStyle w:val="NormalWeb"/>
        <w:spacing w:line="360" w:lineRule="auto"/>
        <w:ind w:firstLine="720"/>
        <w:rPr>
          <w:rFonts w:ascii="Arial" w:hAnsi="Arial" w:cs="Arial"/>
          <w:sz w:val="22"/>
          <w:szCs w:val="22"/>
          <w:lang w:val="en-CA"/>
        </w:rPr>
      </w:pPr>
      <w:r w:rsidRPr="00A73C45">
        <w:rPr>
          <w:rFonts w:ascii="Arial" w:hAnsi="Arial" w:cs="Arial"/>
          <w:b/>
          <w:bCs/>
          <w:sz w:val="22"/>
          <w:szCs w:val="22"/>
          <w:lang w:val="en-CA"/>
        </w:rPr>
        <w:t xml:space="preserve">Renal and urinary disorders </w:t>
      </w:r>
      <w:r w:rsidRPr="00A73C45">
        <w:rPr>
          <w:rFonts w:ascii="Arial" w:hAnsi="Arial" w:cs="Arial"/>
          <w:sz w:val="22"/>
          <w:szCs w:val="22"/>
          <w:lang w:val="en-CA"/>
        </w:rPr>
        <w:t xml:space="preserve">– disturbances of renal function </w:t>
      </w:r>
    </w:p>
    <w:p w:rsidR="0057008E" w:rsidRPr="00A73C45" w:rsidRDefault="0057008E" w:rsidP="0057008E">
      <w:pPr>
        <w:pStyle w:val="NormalWeb"/>
        <w:spacing w:line="360" w:lineRule="auto"/>
        <w:ind w:firstLine="720"/>
        <w:rPr>
          <w:rFonts w:ascii="Arial" w:hAnsi="Arial" w:cs="Arial"/>
          <w:sz w:val="22"/>
          <w:szCs w:val="22"/>
          <w:lang w:val="en-CA"/>
        </w:rPr>
      </w:pPr>
      <w:r w:rsidRPr="00A73C45">
        <w:rPr>
          <w:rFonts w:ascii="Arial" w:hAnsi="Arial" w:cs="Arial"/>
          <w:b/>
          <w:bCs/>
          <w:sz w:val="22"/>
          <w:szCs w:val="22"/>
          <w:lang w:val="en-CA"/>
        </w:rPr>
        <w:t>Ear and labyrinth disorders</w:t>
      </w:r>
      <w:r w:rsidRPr="00A73C45">
        <w:rPr>
          <w:rFonts w:ascii="Arial" w:hAnsi="Arial" w:cs="Arial"/>
          <w:sz w:val="22"/>
          <w:szCs w:val="22"/>
          <w:lang w:val="en-CA"/>
        </w:rPr>
        <w:t xml:space="preserve"> - tinnitus</w:t>
      </w:r>
    </w:p>
    <w:p w:rsidR="0057008E" w:rsidRPr="00A73C45" w:rsidRDefault="0057008E" w:rsidP="0057008E">
      <w:pPr>
        <w:pStyle w:val="NormalWeb"/>
        <w:spacing w:line="360" w:lineRule="auto"/>
        <w:ind w:left="720"/>
        <w:rPr>
          <w:rFonts w:ascii="Arial" w:hAnsi="Arial" w:cs="Arial"/>
          <w:sz w:val="22"/>
          <w:szCs w:val="22"/>
          <w:lang w:val="en-CA"/>
        </w:rPr>
      </w:pPr>
      <w:r w:rsidRPr="00A73C45">
        <w:rPr>
          <w:rFonts w:ascii="Arial" w:hAnsi="Arial" w:cs="Arial"/>
          <w:b/>
          <w:bCs/>
          <w:sz w:val="22"/>
          <w:szCs w:val="22"/>
          <w:lang w:val="en-CA"/>
        </w:rPr>
        <w:t>Salicylism</w:t>
      </w:r>
      <w:r w:rsidRPr="00A73C45">
        <w:rPr>
          <w:rFonts w:ascii="Arial" w:hAnsi="Arial" w:cs="Arial"/>
          <w:sz w:val="22"/>
          <w:szCs w:val="22"/>
          <w:lang w:val="en-CA"/>
        </w:rPr>
        <w:t xml:space="preserve">- mild chronic salicylate intoxication may occur after repeated administration of large doses, symptoms include dizziness, tinnitus, deafness, sweating, nausea, vomiting, headache and mental confusion. </w:t>
      </w:r>
    </w:p>
    <w:p w:rsidR="004A197B" w:rsidRPr="00A73C45" w:rsidRDefault="0057008E" w:rsidP="00BA329F">
      <w:pPr>
        <w:pStyle w:val="NormalWeb"/>
        <w:spacing w:line="360" w:lineRule="auto"/>
        <w:ind w:left="720"/>
        <w:rPr>
          <w:rFonts w:cs="Arial"/>
          <w:bCs/>
          <w:lang w:val="en-CA"/>
        </w:rPr>
      </w:pPr>
      <w:r w:rsidRPr="00A73C45">
        <w:rPr>
          <w:rFonts w:ascii="Arial" w:hAnsi="Arial" w:cs="Arial"/>
          <w:b/>
          <w:bCs/>
          <w:sz w:val="22"/>
          <w:szCs w:val="22"/>
          <w:lang w:val="en-CA"/>
        </w:rPr>
        <w:lastRenderedPageBreak/>
        <w:t xml:space="preserve">General disorders and administration site conditions </w:t>
      </w:r>
      <w:r w:rsidRPr="00A73C45">
        <w:rPr>
          <w:rFonts w:ascii="Arial" w:hAnsi="Arial" w:cs="Arial"/>
          <w:sz w:val="22"/>
          <w:szCs w:val="22"/>
          <w:lang w:val="en-CA"/>
        </w:rPr>
        <w:t xml:space="preserve">– Allergic reactions: rhinitis, urticaria, purpura, Stevens-Johnson syndrome, angioneurotic oedema, angio-oedema, asthma, worsening of asthma, bronchospasms. </w:t>
      </w:r>
    </w:p>
    <w:p w:rsidR="0000744A" w:rsidRPr="00A73C45" w:rsidRDefault="0000744A" w:rsidP="007E4202">
      <w:pPr>
        <w:rPr>
          <w:rFonts w:cs="Arial"/>
          <w:b/>
          <w:lang w:val="en-CA"/>
        </w:rPr>
      </w:pPr>
    </w:p>
    <w:p w:rsidR="007E4202" w:rsidRPr="00A73C45" w:rsidRDefault="00E83FAC" w:rsidP="003A4A48">
      <w:pPr>
        <w:pStyle w:val="Heading2"/>
        <w:rPr>
          <w:lang w:val="en-CA"/>
        </w:rPr>
      </w:pPr>
      <w:bookmarkStart w:id="91" w:name="_Toc212179437"/>
      <w:bookmarkStart w:id="92" w:name="_Toc387306505"/>
      <w:bookmarkStart w:id="93" w:name="_Toc282158296"/>
      <w:r>
        <w:rPr>
          <w:lang w:val="en-CA"/>
        </w:rPr>
        <w:t>Adverse Event R</w:t>
      </w:r>
      <w:r w:rsidR="007E4202" w:rsidRPr="00A73C45">
        <w:rPr>
          <w:lang w:val="en-CA"/>
        </w:rPr>
        <w:t>ecording</w:t>
      </w:r>
      <w:bookmarkEnd w:id="91"/>
      <w:bookmarkEnd w:id="92"/>
    </w:p>
    <w:p w:rsidR="007E4202" w:rsidRDefault="009A4E90" w:rsidP="007E4202">
      <w:pPr>
        <w:tabs>
          <w:tab w:val="left" w:pos="1440"/>
        </w:tabs>
        <w:rPr>
          <w:rFonts w:cs="Arial"/>
          <w:lang w:val="en-CA"/>
        </w:rPr>
      </w:pPr>
      <w:r w:rsidRPr="00A73C45">
        <w:rPr>
          <w:rFonts w:cs="Arial"/>
          <w:lang w:val="en-CA"/>
        </w:rPr>
        <w:t xml:space="preserve">All adverse events </w:t>
      </w:r>
      <w:r w:rsidR="00B87E94">
        <w:rPr>
          <w:rFonts w:cs="Arial"/>
          <w:lang w:val="en-CA"/>
        </w:rPr>
        <w:t xml:space="preserve">which </w:t>
      </w:r>
      <w:r w:rsidR="0056058A">
        <w:rPr>
          <w:rFonts w:cs="Arial"/>
          <w:lang w:val="en-CA"/>
        </w:rPr>
        <w:t xml:space="preserve">initiate </w:t>
      </w:r>
      <w:r w:rsidR="00B87E94">
        <w:rPr>
          <w:rFonts w:cs="Arial"/>
          <w:lang w:val="en-CA"/>
        </w:rPr>
        <w:t xml:space="preserve">after administration of the first dose of study drug and before the end of study day 60 </w:t>
      </w:r>
      <w:r w:rsidRPr="00A73C45">
        <w:rPr>
          <w:rFonts w:cs="Arial"/>
          <w:lang w:val="en-CA"/>
        </w:rPr>
        <w:t>will be recorded in the CRF. Events which are g</w:t>
      </w:r>
      <w:r w:rsidR="007E4202" w:rsidRPr="00A73C45">
        <w:rPr>
          <w:rFonts w:cs="Arial"/>
          <w:lang w:val="en-CA"/>
        </w:rPr>
        <w:t>rade 3 and 4 adverse events</w:t>
      </w:r>
      <w:r w:rsidR="00DB4FED" w:rsidRPr="00A73C45">
        <w:rPr>
          <w:rFonts w:cs="Arial"/>
          <w:lang w:val="en-CA"/>
        </w:rPr>
        <w:t xml:space="preserve"> </w:t>
      </w:r>
      <w:r w:rsidRPr="00A73C45">
        <w:rPr>
          <w:rFonts w:cs="Arial"/>
          <w:lang w:val="en-CA"/>
        </w:rPr>
        <w:t xml:space="preserve">and those judged to be </w:t>
      </w:r>
      <w:r w:rsidR="00DB4FED" w:rsidRPr="00A73C45">
        <w:rPr>
          <w:rFonts w:cs="Arial"/>
          <w:lang w:val="en-CA"/>
        </w:rPr>
        <w:t>possibly related or r</w:t>
      </w:r>
      <w:r w:rsidRPr="00A73C45">
        <w:rPr>
          <w:rFonts w:cs="Arial"/>
          <w:lang w:val="en-CA"/>
        </w:rPr>
        <w:t xml:space="preserve">elated to the trial intervention </w:t>
      </w:r>
      <w:r w:rsidR="007E4202" w:rsidRPr="00A73C45">
        <w:rPr>
          <w:rFonts w:cs="Arial"/>
          <w:lang w:val="en-CA"/>
        </w:rPr>
        <w:t xml:space="preserve">will be </w:t>
      </w:r>
      <w:r w:rsidR="0057008E" w:rsidRPr="00A73C45">
        <w:rPr>
          <w:rFonts w:cs="Arial"/>
          <w:lang w:val="en-CA"/>
        </w:rPr>
        <w:t>followed to resolution</w:t>
      </w:r>
      <w:r w:rsidR="007E4202" w:rsidRPr="00A73C45">
        <w:rPr>
          <w:rFonts w:cs="Arial"/>
          <w:lang w:val="en-CA"/>
        </w:rPr>
        <w:t>.</w:t>
      </w:r>
    </w:p>
    <w:p w:rsidR="00CC3F8D" w:rsidRPr="00A73C45" w:rsidRDefault="00CC3F8D" w:rsidP="007E4202">
      <w:pPr>
        <w:tabs>
          <w:tab w:val="left" w:pos="1440"/>
        </w:tabs>
        <w:rPr>
          <w:rFonts w:cs="Arial"/>
          <w:lang w:val="en-CA"/>
        </w:rPr>
      </w:pPr>
    </w:p>
    <w:p w:rsidR="007E4202" w:rsidRPr="00A73C45" w:rsidRDefault="00CC3F8D" w:rsidP="003A4A48">
      <w:pPr>
        <w:pStyle w:val="Heading2"/>
        <w:rPr>
          <w:lang w:val="en-CA"/>
        </w:rPr>
      </w:pPr>
      <w:bookmarkStart w:id="94" w:name="_Toc212179438"/>
      <w:bookmarkStart w:id="95" w:name="_Toc387306506"/>
      <w:r>
        <w:rPr>
          <w:lang w:val="en-CA"/>
        </w:rPr>
        <w:t>Regulatory Reporting of Adverse E</w:t>
      </w:r>
      <w:r w:rsidR="007E4202" w:rsidRPr="00A73C45">
        <w:rPr>
          <w:lang w:val="en-CA"/>
        </w:rPr>
        <w:t>vent</w:t>
      </w:r>
      <w:r>
        <w:rPr>
          <w:lang w:val="en-CA"/>
        </w:rPr>
        <w:t>s</w:t>
      </w:r>
      <w:bookmarkEnd w:id="94"/>
      <w:bookmarkEnd w:id="95"/>
    </w:p>
    <w:p w:rsidR="000F2A3D" w:rsidRPr="000F2A3D" w:rsidRDefault="004A197B" w:rsidP="007E4202">
      <w:pPr>
        <w:tabs>
          <w:tab w:val="left" w:pos="1440"/>
        </w:tabs>
        <w:rPr>
          <w:rFonts w:cs="Arial"/>
          <w:lang w:val="en-CA"/>
        </w:rPr>
      </w:pPr>
      <w:r w:rsidRPr="00A73C45">
        <w:rPr>
          <w:rFonts w:cs="Arial"/>
          <w:lang w:val="en-CA"/>
        </w:rPr>
        <w:t>As s</w:t>
      </w:r>
      <w:r w:rsidR="007E4202" w:rsidRPr="00A73C45">
        <w:rPr>
          <w:rFonts w:cs="Arial"/>
          <w:lang w:val="en-CA"/>
        </w:rPr>
        <w:t xml:space="preserve">erious adverse events </w:t>
      </w:r>
      <w:r w:rsidRPr="00A73C45">
        <w:rPr>
          <w:rFonts w:cs="Arial"/>
          <w:lang w:val="en-CA"/>
        </w:rPr>
        <w:t xml:space="preserve">and mortality are common in tuberculous meningitis, safety </w:t>
      </w:r>
      <w:r w:rsidRPr="000F2A3D">
        <w:rPr>
          <w:rFonts w:cs="Arial"/>
          <w:lang w:val="en-CA"/>
        </w:rPr>
        <w:t xml:space="preserve">reporting will focus on events of potential relevance to the trial intervention.  </w:t>
      </w:r>
      <w:r w:rsidR="00B87E94" w:rsidRPr="000F2A3D">
        <w:rPr>
          <w:rFonts w:cs="Arial"/>
          <w:lang w:val="en-CA"/>
        </w:rPr>
        <w:t>The following events w</w:t>
      </w:r>
      <w:r w:rsidR="000F2A3D" w:rsidRPr="000F2A3D">
        <w:rPr>
          <w:rFonts w:cs="Arial"/>
          <w:lang w:val="en-CA"/>
        </w:rPr>
        <w:t xml:space="preserve">ill be reported to the </w:t>
      </w:r>
      <w:r w:rsidR="00B87E94" w:rsidRPr="000F2A3D">
        <w:rPr>
          <w:rFonts w:cs="Arial"/>
          <w:lang w:val="en-CA"/>
        </w:rPr>
        <w:t>site ethical committee</w:t>
      </w:r>
      <w:r w:rsidR="000F2A3D" w:rsidRPr="000F2A3D">
        <w:rPr>
          <w:rFonts w:cs="Arial"/>
          <w:lang w:val="en-CA"/>
        </w:rPr>
        <w:t xml:space="preserve"> and the ethical committee of the Viet Nam Ministry of Health:</w:t>
      </w:r>
    </w:p>
    <w:p w:rsidR="000F2A3D" w:rsidRPr="000F2A3D" w:rsidRDefault="000F2A3D" w:rsidP="000F2A3D">
      <w:pPr>
        <w:pStyle w:val="ListParagraph"/>
        <w:numPr>
          <w:ilvl w:val="0"/>
          <w:numId w:val="6"/>
        </w:numPr>
        <w:tabs>
          <w:tab w:val="left" w:pos="1440"/>
        </w:tabs>
        <w:rPr>
          <w:rFonts w:ascii="Arial" w:hAnsi="Arial" w:cs="Arial"/>
          <w:szCs w:val="22"/>
          <w:lang w:val="en-CA"/>
        </w:rPr>
      </w:pPr>
      <w:r w:rsidRPr="000F2A3D">
        <w:rPr>
          <w:rFonts w:ascii="Arial" w:hAnsi="Arial" w:cs="Arial"/>
          <w:szCs w:val="22"/>
          <w:lang w:val="en-CA"/>
        </w:rPr>
        <w:t>A</w:t>
      </w:r>
      <w:r w:rsidR="004A197B" w:rsidRPr="000F2A3D">
        <w:rPr>
          <w:rFonts w:ascii="Arial" w:hAnsi="Arial" w:cs="Arial"/>
          <w:szCs w:val="22"/>
          <w:lang w:val="en-CA"/>
        </w:rPr>
        <w:t xml:space="preserve">ll unexpected serious adverse events </w:t>
      </w:r>
    </w:p>
    <w:p w:rsidR="000F2A3D" w:rsidRPr="000F2A3D" w:rsidRDefault="000F2A3D" w:rsidP="000F2A3D">
      <w:pPr>
        <w:pStyle w:val="ListParagraph"/>
        <w:numPr>
          <w:ilvl w:val="0"/>
          <w:numId w:val="6"/>
        </w:numPr>
        <w:tabs>
          <w:tab w:val="left" w:pos="1440"/>
        </w:tabs>
        <w:rPr>
          <w:rFonts w:ascii="Arial" w:hAnsi="Arial" w:cs="Arial"/>
          <w:szCs w:val="22"/>
          <w:lang w:val="en-CA"/>
        </w:rPr>
      </w:pPr>
      <w:r w:rsidRPr="000F2A3D">
        <w:rPr>
          <w:rFonts w:ascii="Arial" w:hAnsi="Arial" w:cs="Arial"/>
          <w:szCs w:val="22"/>
          <w:lang w:val="en-CA"/>
        </w:rPr>
        <w:t>A</w:t>
      </w:r>
      <w:r w:rsidR="004A197B" w:rsidRPr="000F2A3D">
        <w:rPr>
          <w:rFonts w:ascii="Arial" w:hAnsi="Arial" w:cs="Arial"/>
          <w:szCs w:val="22"/>
          <w:lang w:val="en-CA"/>
        </w:rPr>
        <w:t>ll serious adverse events judged to be related or possibly related to the trial intervention</w:t>
      </w:r>
    </w:p>
    <w:p w:rsidR="000F2A3D" w:rsidRPr="000F2A3D" w:rsidRDefault="000F2A3D" w:rsidP="000F2A3D">
      <w:pPr>
        <w:pStyle w:val="ListParagraph"/>
        <w:numPr>
          <w:ilvl w:val="0"/>
          <w:numId w:val="6"/>
        </w:numPr>
        <w:tabs>
          <w:tab w:val="left" w:pos="1440"/>
        </w:tabs>
        <w:rPr>
          <w:rFonts w:ascii="Arial" w:hAnsi="Arial" w:cs="Arial"/>
          <w:szCs w:val="22"/>
          <w:lang w:val="en-CA"/>
        </w:rPr>
      </w:pPr>
      <w:r w:rsidRPr="000F2A3D">
        <w:rPr>
          <w:rFonts w:ascii="Arial" w:hAnsi="Arial" w:cs="Arial"/>
          <w:szCs w:val="22"/>
          <w:lang w:val="en-CA"/>
        </w:rPr>
        <w:t>All deaths</w:t>
      </w:r>
    </w:p>
    <w:p w:rsidR="007E4202" w:rsidRPr="0003621A" w:rsidRDefault="00433BBE" w:rsidP="0003621A">
      <w:pPr>
        <w:widowControl w:val="0"/>
        <w:autoSpaceDE w:val="0"/>
        <w:autoSpaceDN w:val="0"/>
        <w:adjustRightInd w:val="0"/>
      </w:pPr>
      <w:r>
        <w:rPr>
          <w:rFonts w:cs="Arial"/>
          <w:lang w:val="en-CA"/>
        </w:rPr>
        <w:t xml:space="preserve">Reporting to the ethical committees will include </w:t>
      </w:r>
      <w:r w:rsidRPr="0003621A">
        <w:rPr>
          <w:rFonts w:cs="Arial"/>
          <w:lang w:val="en-CA"/>
        </w:rPr>
        <w:t xml:space="preserve">an </w:t>
      </w:r>
      <w:r w:rsidR="00314DB6" w:rsidRPr="0003621A">
        <w:t>initial</w:t>
      </w:r>
      <w:r w:rsidRPr="0003621A">
        <w:t xml:space="preserve"> written report</w:t>
      </w:r>
      <w:r w:rsidR="0003621A">
        <w:t>,</w:t>
      </w:r>
      <w:r w:rsidRPr="0003621A">
        <w:t xml:space="preserve"> which</w:t>
      </w:r>
      <w:r>
        <w:t xml:space="preserve"> will be sent</w:t>
      </w:r>
      <w:r w:rsidRPr="00E52FBA">
        <w:t xml:space="preserve"> as soon as possible </w:t>
      </w:r>
      <w:r>
        <w:t>and within</w:t>
      </w:r>
      <w:r w:rsidRPr="00E52FBA">
        <w:t xml:space="preserve"> 7 days of occurrence. The </w:t>
      </w:r>
      <w:r>
        <w:t xml:space="preserve">format and </w:t>
      </w:r>
      <w:r w:rsidRPr="00E52FBA">
        <w:t xml:space="preserve">content of the initial report should </w:t>
      </w:r>
      <w:r>
        <w:t>follow</w:t>
      </w:r>
      <w:r w:rsidRPr="00E52FBA">
        <w:t xml:space="preserve"> the </w:t>
      </w:r>
      <w:r>
        <w:t xml:space="preserve">Viet Nam </w:t>
      </w:r>
      <w:r w:rsidRPr="00E52FBA">
        <w:t>M</w:t>
      </w:r>
      <w:r>
        <w:t>inistry of Health</w:t>
      </w:r>
      <w:r w:rsidRPr="00E52FBA">
        <w:t xml:space="preserve"> report template </w:t>
      </w:r>
      <w:r>
        <w:t>and include all information available at the tim</w:t>
      </w:r>
      <w:r w:rsidRPr="00E52FBA">
        <w:t xml:space="preserve">e of reporting. </w:t>
      </w:r>
      <w:r w:rsidRPr="0003621A">
        <w:t>A follow up report</w:t>
      </w:r>
      <w:r w:rsidRPr="00E52FBA">
        <w:t xml:space="preserve"> </w:t>
      </w:r>
      <w:r>
        <w:t>with</w:t>
      </w:r>
      <w:r w:rsidRPr="00E52FBA">
        <w:t xml:space="preserve"> complete detail</w:t>
      </w:r>
      <w:r>
        <w:t>s</w:t>
      </w:r>
      <w:r w:rsidRPr="00E52FBA">
        <w:t xml:space="preserve"> </w:t>
      </w:r>
      <w:r w:rsidR="0003621A">
        <w:t>will</w:t>
      </w:r>
      <w:r>
        <w:t xml:space="preserve"> be </w:t>
      </w:r>
      <w:r w:rsidRPr="00E52FBA">
        <w:t xml:space="preserve">sent within 15 days </w:t>
      </w:r>
      <w:r>
        <w:t>of the initial report if the initial report does not contain the details of event resolution</w:t>
      </w:r>
      <w:r w:rsidRPr="00E52FBA">
        <w:t>.</w:t>
      </w:r>
      <w:bookmarkEnd w:id="93"/>
    </w:p>
    <w:p w:rsidR="0081182F" w:rsidRPr="00A73C45" w:rsidRDefault="0081182F" w:rsidP="007E4202">
      <w:pPr>
        <w:rPr>
          <w:lang w:val="en-CA"/>
        </w:rPr>
      </w:pPr>
    </w:p>
    <w:p w:rsidR="0081182F" w:rsidRPr="00A73C45" w:rsidRDefault="00B87E94" w:rsidP="003A4A48">
      <w:pPr>
        <w:pStyle w:val="Heading2"/>
        <w:rPr>
          <w:lang w:val="en-CA"/>
        </w:rPr>
      </w:pPr>
      <w:bookmarkStart w:id="96" w:name="_Toc387306507"/>
      <w:r>
        <w:rPr>
          <w:lang w:val="en-CA"/>
        </w:rPr>
        <w:t xml:space="preserve">Safety Reporting </w:t>
      </w:r>
      <w:r w:rsidR="0003621A">
        <w:rPr>
          <w:lang w:val="en-CA"/>
        </w:rPr>
        <w:t>and</w:t>
      </w:r>
      <w:r>
        <w:rPr>
          <w:lang w:val="en-CA"/>
        </w:rPr>
        <w:t xml:space="preserve"> the </w:t>
      </w:r>
      <w:r w:rsidR="0081182F" w:rsidRPr="00A73C45">
        <w:rPr>
          <w:lang w:val="en-CA"/>
        </w:rPr>
        <w:t>Data Safety and Monitoring Board</w:t>
      </w:r>
      <w:bookmarkEnd w:id="96"/>
    </w:p>
    <w:p w:rsidR="003C671F" w:rsidRPr="00A73C45" w:rsidRDefault="0081182F" w:rsidP="0081182F">
      <w:pPr>
        <w:spacing w:before="120" w:after="60"/>
        <w:rPr>
          <w:rFonts w:cs="Arial"/>
          <w:lang w:val="en-CA"/>
        </w:rPr>
      </w:pPr>
      <w:r w:rsidRPr="00A73C45">
        <w:rPr>
          <w:rFonts w:cs="Arial"/>
          <w:lang w:val="en-CA"/>
        </w:rPr>
        <w:t xml:space="preserve">An independent Data and Safety Monitoring Board will be </w:t>
      </w:r>
      <w:r w:rsidR="003C671F">
        <w:rPr>
          <w:rFonts w:cs="Arial"/>
          <w:lang w:val="en-CA"/>
        </w:rPr>
        <w:t>established</w:t>
      </w:r>
      <w:r w:rsidRPr="00A73C45">
        <w:rPr>
          <w:rFonts w:cs="Arial"/>
          <w:lang w:val="en-CA"/>
        </w:rPr>
        <w:t xml:space="preserve"> consisting of </w:t>
      </w:r>
      <w:r w:rsidR="00C670B7">
        <w:rPr>
          <w:rFonts w:cs="Arial"/>
          <w:lang w:val="en-CA"/>
        </w:rPr>
        <w:t xml:space="preserve">expert </w:t>
      </w:r>
      <w:r w:rsidR="00DC7AC6">
        <w:rPr>
          <w:rFonts w:cs="Arial"/>
          <w:lang w:val="en-CA"/>
        </w:rPr>
        <w:t xml:space="preserve">Vietnamese </w:t>
      </w:r>
      <w:r w:rsidRPr="00A73C45">
        <w:rPr>
          <w:rFonts w:cs="Arial"/>
          <w:lang w:val="en-CA"/>
        </w:rPr>
        <w:t>and international researchers and doctors, with the necessary clinical, research and statistical knowledge.</w:t>
      </w:r>
      <w:bookmarkStart w:id="97" w:name="OLE_LINK8"/>
      <w:bookmarkStart w:id="98" w:name="OLE_LINK9"/>
      <w:bookmarkEnd w:id="97"/>
      <w:bookmarkEnd w:id="98"/>
      <w:r w:rsidR="003C671F">
        <w:rPr>
          <w:rFonts w:cs="Arial"/>
          <w:lang w:val="en-CA"/>
        </w:rPr>
        <w:t xml:space="preserve">  </w:t>
      </w:r>
      <w:r w:rsidRPr="00A73C45">
        <w:rPr>
          <w:rFonts w:cs="Arial"/>
          <w:lang w:val="en-CA"/>
        </w:rPr>
        <w:t xml:space="preserve">The DSMB will review the protocol and agree to a data review schedule and reporting requirements </w:t>
      </w:r>
      <w:r w:rsidR="004D12B5">
        <w:rPr>
          <w:rFonts w:cs="Arial"/>
          <w:lang w:val="en-CA"/>
        </w:rPr>
        <w:t>applicable</w:t>
      </w:r>
      <w:r w:rsidR="00C670B7">
        <w:rPr>
          <w:rFonts w:cs="Arial"/>
          <w:lang w:val="en-CA"/>
        </w:rPr>
        <w:t xml:space="preserve"> </w:t>
      </w:r>
      <w:r w:rsidRPr="00A73C45">
        <w:rPr>
          <w:rFonts w:cs="Arial"/>
          <w:lang w:val="en-CA"/>
        </w:rPr>
        <w:t xml:space="preserve">before the study commences, with </w:t>
      </w:r>
      <w:r w:rsidRPr="00154F03">
        <w:rPr>
          <w:rFonts w:cs="Arial"/>
          <w:lang w:val="en-CA"/>
        </w:rPr>
        <w:t xml:space="preserve">particular reference to </w:t>
      </w:r>
      <w:r w:rsidR="00154F03">
        <w:rPr>
          <w:rFonts w:cs="Arial"/>
          <w:lang w:val="en-CA"/>
        </w:rPr>
        <w:t>the details of the</w:t>
      </w:r>
      <w:r w:rsidRPr="00A73C45">
        <w:rPr>
          <w:rFonts w:cs="Arial"/>
          <w:lang w:val="en-CA"/>
        </w:rPr>
        <w:t xml:space="preserve"> interim review. A DSMB charter will outline its responsibilities and how it will operate. </w:t>
      </w:r>
    </w:p>
    <w:p w:rsidR="0081182F" w:rsidRPr="00A73C45" w:rsidRDefault="0081182F" w:rsidP="0081182F">
      <w:pPr>
        <w:spacing w:before="120" w:after="60"/>
        <w:rPr>
          <w:rFonts w:cs="Arial"/>
          <w:b/>
          <w:iCs/>
          <w:lang w:val="en-CA"/>
        </w:rPr>
      </w:pPr>
      <w:r w:rsidRPr="00A73C45">
        <w:rPr>
          <w:rFonts w:cs="Arial"/>
          <w:lang w:val="en-CA"/>
        </w:rPr>
        <w:t xml:space="preserve">The DSMB will perform a safety review of data for the first 30 patients enrolled to the trial. This review will include unblinded summary tables of </w:t>
      </w:r>
      <w:r w:rsidR="003C671F">
        <w:rPr>
          <w:rFonts w:cs="Arial"/>
          <w:lang w:val="en-CA"/>
        </w:rPr>
        <w:t xml:space="preserve">baseline characteristics, </w:t>
      </w:r>
      <w:r w:rsidRPr="00A73C45">
        <w:rPr>
          <w:rFonts w:cs="Arial"/>
          <w:lang w:val="en-CA"/>
        </w:rPr>
        <w:t xml:space="preserve">SAEs, AEs and event reports submitted to the DSMB. An analysis of overall clinical outcome will be performed.  </w:t>
      </w:r>
      <w:r w:rsidR="00A02565" w:rsidRPr="00A73C45">
        <w:rPr>
          <w:rFonts w:cs="Arial"/>
          <w:lang w:val="en-CA"/>
        </w:rPr>
        <w:t>If deemed necessary, an a</w:t>
      </w:r>
      <w:r w:rsidRPr="00A73C45">
        <w:rPr>
          <w:rFonts w:cs="Arial"/>
          <w:lang w:val="en-CA"/>
        </w:rPr>
        <w:t>dditional safety review</w:t>
      </w:r>
      <w:r w:rsidR="00A02565" w:rsidRPr="00A73C45">
        <w:rPr>
          <w:rFonts w:cs="Arial"/>
          <w:lang w:val="en-CA"/>
        </w:rPr>
        <w:t xml:space="preserve"> may be performed after the </w:t>
      </w:r>
      <w:r w:rsidR="00A02565" w:rsidRPr="00A73C45">
        <w:rPr>
          <w:rFonts w:cs="Arial"/>
          <w:lang w:val="en-CA"/>
        </w:rPr>
        <w:lastRenderedPageBreak/>
        <w:t>enrolment of 60 patients or</w:t>
      </w:r>
      <w:r w:rsidRPr="00A73C45">
        <w:rPr>
          <w:rFonts w:cs="Arial"/>
          <w:lang w:val="en-CA"/>
        </w:rPr>
        <w:t xml:space="preserve"> annually at the discretion of the DSMB based on available data and ongoing reporting.  All DSMB reports will be sent to the </w:t>
      </w:r>
      <w:r w:rsidR="003C671F">
        <w:rPr>
          <w:rFonts w:cs="Arial"/>
          <w:lang w:val="en-CA"/>
        </w:rPr>
        <w:t xml:space="preserve">responsible ethical committees including the </w:t>
      </w:r>
      <w:r w:rsidRPr="00A73C45">
        <w:rPr>
          <w:rFonts w:cs="Arial"/>
          <w:lang w:val="en-CA"/>
        </w:rPr>
        <w:t>site ethical committees</w:t>
      </w:r>
      <w:r w:rsidR="003C671F">
        <w:rPr>
          <w:rFonts w:cs="Arial"/>
          <w:lang w:val="en-CA"/>
        </w:rPr>
        <w:t xml:space="preserve">, </w:t>
      </w:r>
      <w:r w:rsidRPr="00A73C45">
        <w:rPr>
          <w:rFonts w:cs="Arial"/>
          <w:lang w:val="en-CA"/>
        </w:rPr>
        <w:t xml:space="preserve">the Oxford Tropical Research Ethics Committee </w:t>
      </w:r>
      <w:r w:rsidR="003C671F">
        <w:rPr>
          <w:rFonts w:cs="Arial"/>
          <w:lang w:val="en-CA"/>
        </w:rPr>
        <w:t xml:space="preserve">and the Viet Nam Ministry of Health ethical committee </w:t>
      </w:r>
      <w:r w:rsidRPr="00A73C45">
        <w:rPr>
          <w:rFonts w:cs="Arial"/>
          <w:lang w:val="en-CA"/>
        </w:rPr>
        <w:t xml:space="preserve">for consideration.  Recruitment will continue at any active site during the DSMB review period.  </w:t>
      </w:r>
    </w:p>
    <w:p w:rsidR="002B4E3D" w:rsidRDefault="0081182F" w:rsidP="00BA329F">
      <w:pPr>
        <w:rPr>
          <w:rFonts w:cs="Arial"/>
          <w:lang w:val="en-CA"/>
        </w:rPr>
      </w:pPr>
      <w:r w:rsidRPr="00A73C45">
        <w:rPr>
          <w:rFonts w:cs="Arial"/>
          <w:lang w:val="en-CA"/>
        </w:rPr>
        <w:t xml:space="preserve">As the dissemination of preliminary summary data could influence the subsequent conduct of the trial and introduce bias, access to interim data and results will be confidential and strictly limited to the </w:t>
      </w:r>
      <w:r w:rsidR="004D12B5">
        <w:rPr>
          <w:rFonts w:cs="Arial"/>
          <w:lang w:val="en-CA"/>
        </w:rPr>
        <w:t>DSMB members</w:t>
      </w:r>
      <w:r w:rsidRPr="00A73C45">
        <w:rPr>
          <w:rFonts w:cs="Arial"/>
          <w:lang w:val="en-CA"/>
        </w:rPr>
        <w:t>. No results (except for the recommendation) will be communicated to the outside and/or the clinical investigators involved in the trial.</w:t>
      </w:r>
    </w:p>
    <w:p w:rsidR="00B87E94" w:rsidRDefault="00B87E94" w:rsidP="00BA329F">
      <w:pPr>
        <w:rPr>
          <w:rFonts w:cs="Arial"/>
          <w:lang w:val="en-CA"/>
        </w:rPr>
      </w:pPr>
    </w:p>
    <w:p w:rsidR="00B87E94" w:rsidRPr="00A73C45" w:rsidRDefault="00B87E94" w:rsidP="00B87E94">
      <w:pPr>
        <w:pStyle w:val="Heading2"/>
        <w:rPr>
          <w:lang w:val="en-CA"/>
        </w:rPr>
      </w:pPr>
      <w:bookmarkStart w:id="99" w:name="_Toc282158298"/>
      <w:bookmarkStart w:id="100" w:name="_Toc212179439"/>
      <w:bookmarkStart w:id="101" w:name="_Toc387306508"/>
      <w:r w:rsidRPr="00A73C45">
        <w:rPr>
          <w:lang w:val="en-CA"/>
        </w:rPr>
        <w:t>Protocol</w:t>
      </w:r>
      <w:bookmarkEnd w:id="99"/>
      <w:bookmarkEnd w:id="100"/>
      <w:r w:rsidR="009D3D6C">
        <w:rPr>
          <w:lang w:val="en-CA"/>
        </w:rPr>
        <w:t xml:space="preserve"> Violations</w:t>
      </w:r>
      <w:bookmarkEnd w:id="101"/>
    </w:p>
    <w:p w:rsidR="009D3D6C" w:rsidRDefault="009D3D6C" w:rsidP="009D3D6C">
      <w:pPr>
        <w:rPr>
          <w:rFonts w:cs="Arial"/>
          <w:color w:val="000000"/>
        </w:rPr>
      </w:pPr>
      <w:r w:rsidRPr="00A73C45">
        <w:rPr>
          <w:rFonts w:cs="Arial"/>
          <w:lang w:val="en-CA"/>
        </w:rPr>
        <w:t xml:space="preserve">Protocol violations </w:t>
      </w:r>
      <w:r>
        <w:rPr>
          <w:rFonts w:cs="Arial"/>
          <w:lang w:val="en-CA"/>
        </w:rPr>
        <w:t xml:space="preserve">(PV) </w:t>
      </w:r>
      <w:r w:rsidRPr="00A73C45">
        <w:rPr>
          <w:rFonts w:cs="Arial"/>
          <w:lang w:val="en-CA"/>
        </w:rPr>
        <w:t xml:space="preserve">are events </w:t>
      </w:r>
      <w:r>
        <w:rPr>
          <w:rFonts w:cs="Arial"/>
          <w:lang w:val="en-CA"/>
        </w:rPr>
        <w:t>that</w:t>
      </w:r>
      <w:r w:rsidRPr="00A73C45">
        <w:rPr>
          <w:rFonts w:cs="Arial"/>
          <w:lang w:val="en-CA"/>
        </w:rPr>
        <w:t xml:space="preserve"> contradict or omit protocol instructions </w:t>
      </w:r>
      <w:r>
        <w:rPr>
          <w:rFonts w:cs="Arial"/>
          <w:lang w:val="en-CA"/>
        </w:rPr>
        <w:t xml:space="preserve">and fulfil one or more of the following criteria: </w:t>
      </w:r>
      <w:r>
        <w:rPr>
          <w:rFonts w:cs="Arial"/>
          <w:color w:val="000000"/>
        </w:rPr>
        <w:t xml:space="preserve">1) the safety/welfare of one or more patients is put at risk by the non-compliance, 2) the integrity of study data is compromised by the violation. </w:t>
      </w:r>
    </w:p>
    <w:p w:rsidR="00B87E94" w:rsidRPr="009D3D6C" w:rsidRDefault="009D3D6C" w:rsidP="00B87E94">
      <w:pPr>
        <w:rPr>
          <w:rFonts w:cs="Arial"/>
          <w:color w:val="000000"/>
        </w:rPr>
      </w:pPr>
      <w:r>
        <w:rPr>
          <w:rFonts w:cs="Arial"/>
          <w:color w:val="000000"/>
        </w:rPr>
        <w:t xml:space="preserve">PVs must be reported to the sponsor as soon as possible.  If the PI or sponsor confirms that the PV poses a risk to patient safety/welfare or the integrity of study data, the PV must be reported to the responsible </w:t>
      </w:r>
      <w:r w:rsidR="00060DBA">
        <w:rPr>
          <w:rFonts w:cs="Arial"/>
          <w:color w:val="000000"/>
        </w:rPr>
        <w:t xml:space="preserve">hospital </w:t>
      </w:r>
      <w:r>
        <w:rPr>
          <w:rFonts w:cs="Arial"/>
          <w:color w:val="000000"/>
        </w:rPr>
        <w:t xml:space="preserve">Ethical Committee. </w:t>
      </w:r>
    </w:p>
    <w:p w:rsidR="00B87E94" w:rsidRPr="00A73C45" w:rsidRDefault="00B87E94" w:rsidP="00BA329F">
      <w:pPr>
        <w:rPr>
          <w:rFonts w:cs="Arial"/>
          <w:lang w:val="en-CA"/>
        </w:rPr>
      </w:pPr>
    </w:p>
    <w:p w:rsidR="00F84AE3" w:rsidRPr="00A73C45" w:rsidRDefault="00F84AE3" w:rsidP="001770D8">
      <w:pPr>
        <w:pStyle w:val="Heading1"/>
        <w:rPr>
          <w:lang w:val="en-CA"/>
        </w:rPr>
      </w:pPr>
      <w:bookmarkStart w:id="102" w:name="_Toc387306509"/>
      <w:r w:rsidRPr="00A73C45">
        <w:rPr>
          <w:lang w:val="en-CA"/>
        </w:rPr>
        <w:t>STATISTICS</w:t>
      </w:r>
      <w:bookmarkEnd w:id="102"/>
    </w:p>
    <w:p w:rsidR="00F268E6" w:rsidRPr="00A73C45" w:rsidRDefault="00845B22" w:rsidP="003A4A48">
      <w:pPr>
        <w:pStyle w:val="Heading2"/>
        <w:rPr>
          <w:lang w:val="en-CA"/>
        </w:rPr>
      </w:pPr>
      <w:bookmarkStart w:id="103" w:name="_Toc387306510"/>
      <w:r w:rsidRPr="00A73C45">
        <w:rPr>
          <w:lang w:val="en-CA"/>
        </w:rPr>
        <w:t>Sample size justification</w:t>
      </w:r>
      <w:bookmarkEnd w:id="103"/>
    </w:p>
    <w:p w:rsidR="00845B22" w:rsidRPr="00A73C45" w:rsidRDefault="00F268E6" w:rsidP="00B01823">
      <w:pPr>
        <w:rPr>
          <w:lang w:val="en-CA"/>
        </w:rPr>
      </w:pPr>
      <w:r w:rsidRPr="00A73C45">
        <w:rPr>
          <w:lang w:val="en-CA"/>
        </w:rPr>
        <w:t>Sample size was chosen based on clinical and feasibility consideration</w:t>
      </w:r>
      <w:r w:rsidR="00D158C3" w:rsidRPr="00A73C45">
        <w:rPr>
          <w:lang w:val="en-CA"/>
        </w:rPr>
        <w:t>s</w:t>
      </w:r>
      <w:r w:rsidRPr="00A73C45">
        <w:rPr>
          <w:lang w:val="en-CA"/>
        </w:rPr>
        <w:t>. The calculations below provide evidence of what can be achieved with a sample size of 40 patients per group for the primary safety and efficacy endpoint</w:t>
      </w:r>
      <w:r w:rsidR="002F63C2" w:rsidRPr="00A73C45">
        <w:rPr>
          <w:lang w:val="en-CA"/>
        </w:rPr>
        <w:t>s</w:t>
      </w:r>
      <w:r w:rsidRPr="00A73C45">
        <w:rPr>
          <w:lang w:val="en-CA"/>
        </w:rPr>
        <w:t>, respectively.</w:t>
      </w:r>
    </w:p>
    <w:p w:rsidR="00AD597D" w:rsidRPr="00A73C45" w:rsidRDefault="007331EE" w:rsidP="00F268E6">
      <w:pPr>
        <w:rPr>
          <w:lang w:val="en-CA"/>
        </w:rPr>
      </w:pPr>
      <w:r w:rsidRPr="00A73C45">
        <w:rPr>
          <w:lang w:val="en-CA"/>
        </w:rPr>
        <w:t xml:space="preserve">The proportion of </w:t>
      </w:r>
      <w:r w:rsidR="00D158C3" w:rsidRPr="00A73C45">
        <w:rPr>
          <w:lang w:val="en-CA"/>
        </w:rPr>
        <w:t>HIV uninfected patients with clinically significant gastro-intestinal</w:t>
      </w:r>
      <w:r w:rsidRPr="00A73C45">
        <w:rPr>
          <w:lang w:val="en-CA"/>
        </w:rPr>
        <w:t xml:space="preserve"> bleeding from our on</w:t>
      </w:r>
      <w:r w:rsidR="00D158C3" w:rsidRPr="00A73C45">
        <w:rPr>
          <w:lang w:val="en-CA"/>
        </w:rPr>
        <w:t>-</w:t>
      </w:r>
      <w:r w:rsidRPr="00A73C45">
        <w:rPr>
          <w:lang w:val="en-CA"/>
        </w:rPr>
        <w:t xml:space="preserve">going 05TB trial </w:t>
      </w:r>
      <w:r w:rsidR="00D158C3" w:rsidRPr="00A73C45">
        <w:rPr>
          <w:lang w:val="en-CA"/>
        </w:rPr>
        <w:t xml:space="preserve">of hyper-intensive anti-tuberculosis chemotherapy </w:t>
      </w:r>
      <w:r w:rsidRPr="00A73C45">
        <w:rPr>
          <w:lang w:val="en-CA"/>
        </w:rPr>
        <w:t xml:space="preserve">in Vietnam is about 1% (3/278). </w:t>
      </w:r>
      <w:r w:rsidR="00AD597D" w:rsidRPr="00A73C45">
        <w:rPr>
          <w:lang w:val="en-CA"/>
        </w:rPr>
        <w:t xml:space="preserve">Cerebral bleeding associated with TBM is extremely rare (estimated at &lt;0.01% of all patients), but it is possible it may be more common in those treated with aspirin. We have, therefore, included in the primary </w:t>
      </w:r>
      <w:r w:rsidR="004F7CBA" w:rsidRPr="00A73C45">
        <w:rPr>
          <w:lang w:val="en-CA"/>
        </w:rPr>
        <w:t xml:space="preserve">assessment of </w:t>
      </w:r>
      <w:r w:rsidR="00AD597D" w:rsidRPr="00A73C45">
        <w:rPr>
          <w:lang w:val="en-CA"/>
        </w:rPr>
        <w:t>safety</w:t>
      </w:r>
      <w:r w:rsidR="00A41F21" w:rsidRPr="00A73C45">
        <w:rPr>
          <w:lang w:val="en-CA"/>
        </w:rPr>
        <w:t>.</w:t>
      </w:r>
    </w:p>
    <w:p w:rsidR="00F268E6" w:rsidRPr="00A73C45" w:rsidRDefault="007331EE" w:rsidP="00F268E6">
      <w:pPr>
        <w:rPr>
          <w:lang w:val="en-CA"/>
        </w:rPr>
      </w:pPr>
      <w:r w:rsidRPr="00A73C45">
        <w:rPr>
          <w:lang w:val="en-CA"/>
        </w:rPr>
        <w:t xml:space="preserve">Assuming no effect of aspirin on </w:t>
      </w:r>
      <w:r w:rsidR="00D35AD8" w:rsidRPr="00A73C45">
        <w:rPr>
          <w:lang w:val="en-CA"/>
        </w:rPr>
        <w:t xml:space="preserve">gastrointestinal </w:t>
      </w:r>
      <w:r w:rsidRPr="00A73C45">
        <w:rPr>
          <w:lang w:val="en-CA"/>
        </w:rPr>
        <w:t xml:space="preserve">bleeding, i.e. </w:t>
      </w:r>
      <w:r w:rsidR="00040704" w:rsidRPr="00A73C45">
        <w:rPr>
          <w:lang w:val="en-CA"/>
        </w:rPr>
        <w:t>a true</w:t>
      </w:r>
      <w:r w:rsidR="005C6B93" w:rsidRPr="00A73C45">
        <w:rPr>
          <w:lang w:val="en-CA"/>
        </w:rPr>
        <w:t xml:space="preserve"> </w:t>
      </w:r>
      <w:r w:rsidR="00D35AD8" w:rsidRPr="00A73C45">
        <w:rPr>
          <w:lang w:val="en-CA"/>
        </w:rPr>
        <w:t xml:space="preserve">gastrointestinal </w:t>
      </w:r>
      <w:r w:rsidRPr="00A73C45">
        <w:rPr>
          <w:lang w:val="en-CA"/>
        </w:rPr>
        <w:t>bl</w:t>
      </w:r>
      <w:r w:rsidR="00BE0327" w:rsidRPr="00A73C45">
        <w:rPr>
          <w:lang w:val="en-CA"/>
        </w:rPr>
        <w:t xml:space="preserve">eeding risk of 1% </w:t>
      </w:r>
      <w:r w:rsidR="00040704" w:rsidRPr="00A73C45">
        <w:rPr>
          <w:lang w:val="en-CA"/>
        </w:rPr>
        <w:t xml:space="preserve">for </w:t>
      </w:r>
      <w:r w:rsidR="001D2B77" w:rsidRPr="00A73C45">
        <w:rPr>
          <w:lang w:val="en-CA"/>
        </w:rPr>
        <w:t>aspirin</w:t>
      </w:r>
      <w:r w:rsidRPr="00A73C45">
        <w:rPr>
          <w:lang w:val="en-CA"/>
        </w:rPr>
        <w:t>, the probability w</w:t>
      </w:r>
      <w:r w:rsidR="00040704" w:rsidRPr="00A73C45">
        <w:rPr>
          <w:lang w:val="en-CA"/>
        </w:rPr>
        <w:t>ill</w:t>
      </w:r>
      <w:r w:rsidRPr="00A73C45">
        <w:rPr>
          <w:lang w:val="en-CA"/>
        </w:rPr>
        <w:t xml:space="preserve"> be </w:t>
      </w:r>
      <w:r w:rsidR="00F268E6" w:rsidRPr="00A73C45">
        <w:rPr>
          <w:lang w:val="en-CA"/>
        </w:rPr>
        <w:t xml:space="preserve">67% to observe 0/40 patients and 27% to observe 1/40 patient experiencing </w:t>
      </w:r>
      <w:r w:rsidR="00D35AD8" w:rsidRPr="00A73C45">
        <w:rPr>
          <w:lang w:val="en-CA"/>
        </w:rPr>
        <w:t>gastrointestinal</w:t>
      </w:r>
      <w:r w:rsidR="005C6B93" w:rsidRPr="00A73C45">
        <w:rPr>
          <w:lang w:val="en-CA"/>
        </w:rPr>
        <w:t xml:space="preserve"> </w:t>
      </w:r>
      <w:r w:rsidR="00F268E6" w:rsidRPr="00A73C45">
        <w:rPr>
          <w:lang w:val="en-CA"/>
        </w:rPr>
        <w:t>bleeding</w:t>
      </w:r>
      <w:r w:rsidR="006D0F48" w:rsidRPr="00A73C45">
        <w:rPr>
          <w:lang w:val="en-CA"/>
        </w:rPr>
        <w:t xml:space="preserve"> in each</w:t>
      </w:r>
      <w:r w:rsidR="005C6B93" w:rsidRPr="00A73C45">
        <w:rPr>
          <w:lang w:val="en-CA"/>
        </w:rPr>
        <w:t xml:space="preserve"> </w:t>
      </w:r>
      <w:r w:rsidR="006D0F48" w:rsidRPr="00A73C45">
        <w:rPr>
          <w:lang w:val="en-CA"/>
        </w:rPr>
        <w:t>aspirin arm</w:t>
      </w:r>
      <w:r w:rsidR="00F268E6" w:rsidRPr="00A73C45">
        <w:rPr>
          <w:lang w:val="en-CA"/>
        </w:rPr>
        <w:t>. The corresponding</w:t>
      </w:r>
      <w:r w:rsidR="005C6B93" w:rsidRPr="00A73C45">
        <w:rPr>
          <w:lang w:val="en-CA"/>
        </w:rPr>
        <w:t xml:space="preserve"> </w:t>
      </w:r>
      <w:r w:rsidR="00F268E6" w:rsidRPr="00A73C45">
        <w:rPr>
          <w:lang w:val="en-CA"/>
        </w:rPr>
        <w:t>upper limits of the 95% confidence interval</w:t>
      </w:r>
      <w:r w:rsidR="00FE0B42" w:rsidRPr="00A73C45">
        <w:rPr>
          <w:lang w:val="en-CA"/>
        </w:rPr>
        <w:t>s</w:t>
      </w:r>
      <w:r w:rsidR="00F268E6" w:rsidRPr="00A73C45">
        <w:rPr>
          <w:lang w:val="en-CA"/>
        </w:rPr>
        <w:t xml:space="preserve"> for the risk of a </w:t>
      </w:r>
      <w:r w:rsidR="00D35AD8" w:rsidRPr="00A73C45">
        <w:rPr>
          <w:lang w:val="en-CA"/>
        </w:rPr>
        <w:t xml:space="preserve">gastrointestinal </w:t>
      </w:r>
      <w:r w:rsidR="00F268E6" w:rsidRPr="00A73C45">
        <w:rPr>
          <w:lang w:val="en-CA"/>
        </w:rPr>
        <w:t xml:space="preserve">bleed would allow </w:t>
      </w:r>
      <w:r w:rsidR="00FE0B42" w:rsidRPr="00A73C45">
        <w:rPr>
          <w:lang w:val="en-CA"/>
        </w:rPr>
        <w:t>“</w:t>
      </w:r>
      <w:r w:rsidR="00F268E6" w:rsidRPr="00A73C45">
        <w:rPr>
          <w:lang w:val="en-CA"/>
        </w:rPr>
        <w:t>proving</w:t>
      </w:r>
      <w:r w:rsidR="00FE0B42" w:rsidRPr="00A73C45">
        <w:rPr>
          <w:lang w:val="en-CA"/>
        </w:rPr>
        <w:t>”</w:t>
      </w:r>
      <w:r w:rsidR="00F268E6" w:rsidRPr="00A73C45">
        <w:rPr>
          <w:lang w:val="en-CA"/>
        </w:rPr>
        <w:t xml:space="preserve"> that the true </w:t>
      </w:r>
      <w:r w:rsidR="00D35AD8" w:rsidRPr="00A73C45">
        <w:rPr>
          <w:lang w:val="en-CA"/>
        </w:rPr>
        <w:t xml:space="preserve">gastrointestinal </w:t>
      </w:r>
      <w:r w:rsidR="00F268E6" w:rsidRPr="00A73C45">
        <w:rPr>
          <w:lang w:val="en-CA"/>
        </w:rPr>
        <w:t xml:space="preserve">bleeding risk for aspirin is (at worst) </w:t>
      </w:r>
      <w:r w:rsidR="00F268E6" w:rsidRPr="00A73C45">
        <w:rPr>
          <w:rFonts w:cs="Arial"/>
          <w:lang w:val="en-CA"/>
        </w:rPr>
        <w:t>≤</w:t>
      </w:r>
      <w:r w:rsidR="00F268E6" w:rsidRPr="00A73C45">
        <w:rPr>
          <w:lang w:val="en-CA"/>
        </w:rPr>
        <w:t xml:space="preserve">8.8% (in case of 0/40 observed </w:t>
      </w:r>
      <w:r w:rsidR="00D35AD8" w:rsidRPr="00A73C45">
        <w:rPr>
          <w:lang w:val="en-CA"/>
        </w:rPr>
        <w:t xml:space="preserve">gastrointestinal </w:t>
      </w:r>
      <w:r w:rsidR="00F268E6" w:rsidRPr="00A73C45">
        <w:rPr>
          <w:lang w:val="en-CA"/>
        </w:rPr>
        <w:t xml:space="preserve">bleeding) or </w:t>
      </w:r>
      <w:r w:rsidR="00F268E6" w:rsidRPr="00A73C45">
        <w:rPr>
          <w:rFonts w:cs="Arial"/>
          <w:lang w:val="en-CA"/>
        </w:rPr>
        <w:t>≤</w:t>
      </w:r>
      <w:r w:rsidR="00F268E6" w:rsidRPr="00A73C45">
        <w:rPr>
          <w:lang w:val="en-CA"/>
        </w:rPr>
        <w:t>1</w:t>
      </w:r>
      <w:r w:rsidR="00614467" w:rsidRPr="00A73C45">
        <w:rPr>
          <w:lang w:val="en-CA"/>
        </w:rPr>
        <w:t>2.9</w:t>
      </w:r>
      <w:r w:rsidR="00F268E6" w:rsidRPr="00A73C45">
        <w:rPr>
          <w:lang w:val="en-CA"/>
        </w:rPr>
        <w:t xml:space="preserve">% (in case of </w:t>
      </w:r>
      <w:r w:rsidR="00FE0B42" w:rsidRPr="00A73C45">
        <w:rPr>
          <w:lang w:val="en-CA"/>
        </w:rPr>
        <w:t>1</w:t>
      </w:r>
      <w:r w:rsidR="00F268E6" w:rsidRPr="00A73C45">
        <w:rPr>
          <w:lang w:val="en-CA"/>
        </w:rPr>
        <w:t xml:space="preserve">/40 observed </w:t>
      </w:r>
      <w:r w:rsidR="00D35AD8" w:rsidRPr="00A73C45">
        <w:rPr>
          <w:lang w:val="en-CA"/>
        </w:rPr>
        <w:t>gastrointestinal</w:t>
      </w:r>
      <w:r w:rsidR="00F268E6" w:rsidRPr="00A73C45">
        <w:rPr>
          <w:lang w:val="en-CA"/>
        </w:rPr>
        <w:t xml:space="preserve"> bleeding). </w:t>
      </w:r>
    </w:p>
    <w:p w:rsidR="00845B22" w:rsidRPr="00A73C45" w:rsidRDefault="00F268E6" w:rsidP="00845B22">
      <w:pPr>
        <w:rPr>
          <w:lang w:val="en-CA"/>
        </w:rPr>
      </w:pPr>
      <w:r w:rsidRPr="00A73C45">
        <w:rPr>
          <w:lang w:val="en-CA"/>
        </w:rPr>
        <w:lastRenderedPageBreak/>
        <w:t xml:space="preserve">Assuming further equal </w:t>
      </w:r>
      <w:r w:rsidR="00D35AD8" w:rsidRPr="00A73C45">
        <w:rPr>
          <w:lang w:val="en-CA"/>
        </w:rPr>
        <w:t xml:space="preserve">gastrointestinal </w:t>
      </w:r>
      <w:r w:rsidRPr="00A73C45">
        <w:rPr>
          <w:lang w:val="en-CA"/>
        </w:rPr>
        <w:t xml:space="preserve">bleeding risks of 1% in the combined aspirin groups, the probability will be </w:t>
      </w:r>
      <w:r w:rsidR="007331EE" w:rsidRPr="00A73C45">
        <w:rPr>
          <w:lang w:val="en-CA"/>
        </w:rPr>
        <w:t xml:space="preserve">80% that we observe </w:t>
      </w:r>
      <w:r w:rsidR="001C177E" w:rsidRPr="00A73C45">
        <w:rPr>
          <w:rFonts w:cs="Arial"/>
          <w:lang w:val="en-CA"/>
        </w:rPr>
        <w:t>zero or one</w:t>
      </w:r>
      <w:r w:rsidR="007331EE" w:rsidRPr="00A73C45">
        <w:rPr>
          <w:lang w:val="en-CA"/>
        </w:rPr>
        <w:t xml:space="preserve"> bleeding event amongst the 80 patients </w:t>
      </w:r>
      <w:r w:rsidR="00BE0327" w:rsidRPr="00A73C45">
        <w:rPr>
          <w:lang w:val="en-CA"/>
        </w:rPr>
        <w:t xml:space="preserve">receiving aspirin </w:t>
      </w:r>
      <w:r w:rsidR="007331EE" w:rsidRPr="00A73C45">
        <w:rPr>
          <w:lang w:val="en-CA"/>
        </w:rPr>
        <w:t xml:space="preserve">and the corresponding </w:t>
      </w:r>
      <w:r w:rsidR="00BE0327" w:rsidRPr="00A73C45">
        <w:rPr>
          <w:lang w:val="en-CA"/>
        </w:rPr>
        <w:t xml:space="preserve">upper limit of the </w:t>
      </w:r>
      <w:r w:rsidR="007331EE" w:rsidRPr="00A73C45">
        <w:rPr>
          <w:lang w:val="en-CA"/>
        </w:rPr>
        <w:t xml:space="preserve">95% confidence interval for the risk of a bleed would </w:t>
      </w:r>
      <w:r w:rsidR="00BE0327" w:rsidRPr="00A73C45">
        <w:rPr>
          <w:lang w:val="en-CA"/>
        </w:rPr>
        <w:t xml:space="preserve">allow </w:t>
      </w:r>
      <w:r w:rsidR="00614467" w:rsidRPr="00A73C45">
        <w:rPr>
          <w:lang w:val="en-CA"/>
        </w:rPr>
        <w:t xml:space="preserve">“proving” </w:t>
      </w:r>
      <w:r w:rsidR="007331EE" w:rsidRPr="00A73C45">
        <w:rPr>
          <w:lang w:val="en-CA"/>
        </w:rPr>
        <w:t xml:space="preserve">that the true </w:t>
      </w:r>
      <w:r w:rsidR="00614467" w:rsidRPr="00A73C45">
        <w:rPr>
          <w:lang w:val="en-CA"/>
        </w:rPr>
        <w:t xml:space="preserve">overall </w:t>
      </w:r>
      <w:r w:rsidR="007331EE" w:rsidRPr="00A73C45">
        <w:rPr>
          <w:lang w:val="en-CA"/>
        </w:rPr>
        <w:t xml:space="preserve">bleeding risk </w:t>
      </w:r>
      <w:r w:rsidR="00BE0327" w:rsidRPr="00A73C45">
        <w:rPr>
          <w:lang w:val="en-CA"/>
        </w:rPr>
        <w:t xml:space="preserve">for aspirin </w:t>
      </w:r>
      <w:r w:rsidR="007331EE" w:rsidRPr="00A73C45">
        <w:rPr>
          <w:lang w:val="en-CA"/>
        </w:rPr>
        <w:t xml:space="preserve">is </w:t>
      </w:r>
      <w:r w:rsidR="002C1233" w:rsidRPr="00A73C45">
        <w:rPr>
          <w:lang w:val="en-CA"/>
        </w:rPr>
        <w:t xml:space="preserve">(at worst) </w:t>
      </w:r>
      <w:r w:rsidR="002C1233" w:rsidRPr="00A73C45">
        <w:rPr>
          <w:rFonts w:cs="Arial"/>
          <w:lang w:val="en-CA"/>
        </w:rPr>
        <w:t>≤</w:t>
      </w:r>
      <w:r w:rsidR="00BE0327" w:rsidRPr="00A73C45">
        <w:rPr>
          <w:lang w:val="en-CA"/>
        </w:rPr>
        <w:t>6.</w:t>
      </w:r>
      <w:r w:rsidR="003A1E18" w:rsidRPr="00A73C45">
        <w:rPr>
          <w:lang w:val="en-CA"/>
        </w:rPr>
        <w:t>8</w:t>
      </w:r>
      <w:r w:rsidR="00BE0327" w:rsidRPr="00A73C45">
        <w:rPr>
          <w:lang w:val="en-CA"/>
        </w:rPr>
        <w:t>%.</w:t>
      </w:r>
    </w:p>
    <w:p w:rsidR="00DD4FCB" w:rsidRPr="00A73C45" w:rsidRDefault="00DD4FCB" w:rsidP="00845B22">
      <w:pPr>
        <w:rPr>
          <w:lang w:val="en-CA"/>
        </w:rPr>
      </w:pPr>
      <w:r w:rsidRPr="00A73C45">
        <w:rPr>
          <w:lang w:val="en-CA"/>
        </w:rPr>
        <w:t xml:space="preserve">If in contrast, the risk of bleeding was </w:t>
      </w:r>
      <w:r w:rsidR="004113F1" w:rsidRPr="00A73C45">
        <w:rPr>
          <w:lang w:val="en-CA"/>
        </w:rPr>
        <w:t>increased to 10% in</w:t>
      </w:r>
      <w:r w:rsidR="00040704" w:rsidRPr="00A73C45">
        <w:rPr>
          <w:lang w:val="en-CA"/>
        </w:rPr>
        <w:t xml:space="preserve"> one of the aspirin arms, the probability would be </w:t>
      </w:r>
      <w:r w:rsidR="005B43F2" w:rsidRPr="00A73C45">
        <w:rPr>
          <w:lang w:val="en-CA"/>
        </w:rPr>
        <w:t xml:space="preserve">78% that we observe 3/40 patients with </w:t>
      </w:r>
      <w:r w:rsidR="00D35AD8" w:rsidRPr="00A73C45">
        <w:rPr>
          <w:lang w:val="en-CA"/>
        </w:rPr>
        <w:t xml:space="preserve">gastrointestinal </w:t>
      </w:r>
      <w:r w:rsidR="005B43F2" w:rsidRPr="00A73C45">
        <w:rPr>
          <w:lang w:val="en-CA"/>
        </w:rPr>
        <w:t xml:space="preserve">bleeding or more with a corresponding 95% confidence interval that would </w:t>
      </w:r>
      <w:r w:rsidR="001C177E" w:rsidRPr="00A73C45">
        <w:rPr>
          <w:lang w:val="en-CA"/>
        </w:rPr>
        <w:t>“</w:t>
      </w:r>
      <w:r w:rsidR="005B43F2" w:rsidRPr="00A73C45">
        <w:rPr>
          <w:lang w:val="en-CA"/>
        </w:rPr>
        <w:t>prove</w:t>
      </w:r>
      <w:r w:rsidR="001C177E" w:rsidRPr="00A73C45">
        <w:rPr>
          <w:lang w:val="en-CA"/>
        </w:rPr>
        <w:t>”</w:t>
      </w:r>
      <w:r w:rsidR="005B43F2" w:rsidRPr="00A73C45">
        <w:rPr>
          <w:lang w:val="en-CA"/>
        </w:rPr>
        <w:t xml:space="preserve"> that the true bleeding risk for that aspirin arm were (at best) </w:t>
      </w:r>
      <w:r w:rsidR="005B43F2" w:rsidRPr="00A73C45">
        <w:rPr>
          <w:rFonts w:cs="Arial"/>
          <w:lang w:val="en-CA"/>
        </w:rPr>
        <w:t>≥</w:t>
      </w:r>
      <w:r w:rsidR="00B9058D" w:rsidRPr="00A73C45">
        <w:rPr>
          <w:lang w:val="en-CA"/>
        </w:rPr>
        <w:t>2</w:t>
      </w:r>
      <w:r w:rsidR="00015DE7" w:rsidRPr="00A73C45">
        <w:rPr>
          <w:lang w:val="en-CA"/>
        </w:rPr>
        <w:t>.5</w:t>
      </w:r>
      <w:r w:rsidR="005B43F2" w:rsidRPr="00A73C45">
        <w:rPr>
          <w:lang w:val="en-CA"/>
        </w:rPr>
        <w:t xml:space="preserve">%. </w:t>
      </w:r>
    </w:p>
    <w:p w:rsidR="004113F1" w:rsidRPr="00A73C45" w:rsidRDefault="00813601" w:rsidP="00845B22">
      <w:pPr>
        <w:rPr>
          <w:lang w:val="en-CA"/>
        </w:rPr>
      </w:pPr>
      <w:r w:rsidRPr="00A73C45">
        <w:rPr>
          <w:lang w:val="en-CA"/>
        </w:rPr>
        <w:t xml:space="preserve">We expect a risk of new MRI-proven brain infarction or death within 60 days of approximately 40% in the control arm. </w:t>
      </w:r>
      <w:r w:rsidR="006278AB" w:rsidRPr="00A73C45">
        <w:rPr>
          <w:lang w:val="en-CA"/>
        </w:rPr>
        <w:t xml:space="preserve">Based on the results of the trial performed by Misra et al </w:t>
      </w:r>
      <w:r w:rsidR="006278AB" w:rsidRPr="00A73C45">
        <w:rPr>
          <w:vertAlign w:val="superscript"/>
          <w:lang w:val="en-CA"/>
        </w:rPr>
        <w:t>16</w:t>
      </w:r>
      <w:r w:rsidR="006278AB" w:rsidRPr="00A73C45">
        <w:rPr>
          <w:lang w:val="en-CA"/>
        </w:rPr>
        <w:t>, we a</w:t>
      </w:r>
      <w:r w:rsidRPr="00A73C45">
        <w:rPr>
          <w:lang w:val="en-CA"/>
        </w:rPr>
        <w:t>ssum</w:t>
      </w:r>
      <w:r w:rsidR="006278AB" w:rsidRPr="00A73C45">
        <w:rPr>
          <w:lang w:val="en-CA"/>
        </w:rPr>
        <w:t>e</w:t>
      </w:r>
      <w:r w:rsidR="00C54233" w:rsidRPr="00A73C45">
        <w:rPr>
          <w:lang w:val="en-CA"/>
        </w:rPr>
        <w:t xml:space="preserve"> that </w:t>
      </w:r>
      <w:r w:rsidR="005A2484">
        <w:rPr>
          <w:lang w:val="en-CA"/>
        </w:rPr>
        <w:t>81 mg</w:t>
      </w:r>
      <w:r w:rsidRPr="00A73C45">
        <w:rPr>
          <w:lang w:val="en-CA"/>
        </w:rPr>
        <w:t xml:space="preserve"> aspirin </w:t>
      </w:r>
      <w:r w:rsidR="005A2484">
        <w:rPr>
          <w:lang w:val="en-CA"/>
        </w:rPr>
        <w:t xml:space="preserve">daily </w:t>
      </w:r>
      <w:r w:rsidR="006278AB" w:rsidRPr="00A73C45">
        <w:rPr>
          <w:lang w:val="en-CA"/>
        </w:rPr>
        <w:t xml:space="preserve">may </w:t>
      </w:r>
      <w:r w:rsidRPr="00A73C45">
        <w:rPr>
          <w:lang w:val="en-CA"/>
        </w:rPr>
        <w:t xml:space="preserve">halve this risk to 20% and the risk in the </w:t>
      </w:r>
      <w:r w:rsidR="005A2484">
        <w:rPr>
          <w:lang w:val="en-CA"/>
        </w:rPr>
        <w:t>1000 mg</w:t>
      </w:r>
      <w:r w:rsidRPr="00A73C45">
        <w:rPr>
          <w:lang w:val="en-CA"/>
        </w:rPr>
        <w:t xml:space="preserve"> </w:t>
      </w:r>
      <w:r w:rsidR="005A2484">
        <w:rPr>
          <w:lang w:val="en-CA"/>
        </w:rPr>
        <w:t xml:space="preserve">aspirin daily </w:t>
      </w:r>
      <w:r w:rsidRPr="00A73C45">
        <w:rPr>
          <w:lang w:val="en-CA"/>
        </w:rPr>
        <w:t xml:space="preserve">arm is between 20-40%, then a </w:t>
      </w:r>
      <w:r w:rsidR="00B24E55" w:rsidRPr="00A73C45">
        <w:rPr>
          <w:lang w:val="en-CA"/>
        </w:rPr>
        <w:t xml:space="preserve">linear </w:t>
      </w:r>
      <w:r w:rsidRPr="00A73C45">
        <w:rPr>
          <w:lang w:val="en-CA"/>
        </w:rPr>
        <w:t>trend test across the 3 groups will have approximately 75% power to detect such an effect at the one-sided 10% significance level (i.e. to generate “mild evidence”) and approximately 50% power to detect it at the conventional one-sided 2.5% significance level.</w:t>
      </w:r>
    </w:p>
    <w:p w:rsidR="004F7CBA" w:rsidRPr="00A73C45" w:rsidRDefault="004F7CBA" w:rsidP="00845B22">
      <w:pPr>
        <w:rPr>
          <w:lang w:val="en-CA"/>
        </w:rPr>
      </w:pPr>
    </w:p>
    <w:p w:rsidR="00F84AE3" w:rsidRPr="00A73C45" w:rsidRDefault="00F84AE3" w:rsidP="003A4A48">
      <w:pPr>
        <w:pStyle w:val="Heading2"/>
        <w:rPr>
          <w:lang w:val="en-CA"/>
        </w:rPr>
      </w:pPr>
      <w:bookmarkStart w:id="104" w:name="_Toc387306511"/>
      <w:r w:rsidRPr="00A73C45">
        <w:rPr>
          <w:lang w:val="en-CA"/>
        </w:rPr>
        <w:t>Description of Statistical Methods</w:t>
      </w:r>
      <w:bookmarkEnd w:id="104"/>
    </w:p>
    <w:p w:rsidR="006A32C9" w:rsidRPr="00A73C45" w:rsidRDefault="006A32C9" w:rsidP="001B4484">
      <w:pPr>
        <w:rPr>
          <w:lang w:val="en-CA"/>
        </w:rPr>
      </w:pPr>
      <w:r w:rsidRPr="00A73C45">
        <w:rPr>
          <w:lang w:val="en-CA"/>
        </w:rPr>
        <w:t xml:space="preserve">The risk of clinically significant upper-gastro-intestinal bleeding </w:t>
      </w:r>
      <w:r w:rsidR="00B2623E" w:rsidRPr="00A73C45">
        <w:rPr>
          <w:lang w:val="en-CA"/>
        </w:rPr>
        <w:t xml:space="preserve">and image-proven cerebral bleeding </w:t>
      </w:r>
      <w:r w:rsidRPr="00A73C45">
        <w:rPr>
          <w:lang w:val="en-CA"/>
        </w:rPr>
        <w:t>by 60 days will be s</w:t>
      </w:r>
      <w:r w:rsidR="00A64507" w:rsidRPr="00A73C45">
        <w:rPr>
          <w:lang w:val="en-CA"/>
        </w:rPr>
        <w:t>ummarized as x/n (%) in each group</w:t>
      </w:r>
      <w:r w:rsidR="008C0D4E" w:rsidRPr="00A73C45">
        <w:rPr>
          <w:lang w:val="en-CA"/>
        </w:rPr>
        <w:t xml:space="preserve"> together with two-sided </w:t>
      </w:r>
      <w:r w:rsidRPr="00A73C45">
        <w:rPr>
          <w:lang w:val="en-CA"/>
        </w:rPr>
        <w:t>95% Wilson confidence interval</w:t>
      </w:r>
      <w:r w:rsidR="001A326A" w:rsidRPr="00A73C45">
        <w:rPr>
          <w:lang w:val="en-CA"/>
        </w:rPr>
        <w:t>s</w:t>
      </w:r>
      <w:r w:rsidRPr="00A73C45">
        <w:rPr>
          <w:lang w:val="en-CA"/>
        </w:rPr>
        <w:t xml:space="preserve"> and corresponding confidence intervals for risk differences</w:t>
      </w:r>
      <w:r w:rsidR="001C177E" w:rsidRPr="00A73C45">
        <w:rPr>
          <w:lang w:val="en-CA"/>
        </w:rPr>
        <w:t xml:space="preserve"> between groups</w:t>
      </w:r>
      <w:r w:rsidRPr="00A73C45">
        <w:rPr>
          <w:lang w:val="en-CA"/>
        </w:rPr>
        <w:t xml:space="preserve">. </w:t>
      </w:r>
    </w:p>
    <w:p w:rsidR="006A32C9" w:rsidRPr="00A73C45" w:rsidRDefault="006A32C9" w:rsidP="001B4484">
      <w:pPr>
        <w:rPr>
          <w:lang w:val="en-CA"/>
        </w:rPr>
      </w:pPr>
      <w:r w:rsidRPr="00A73C45">
        <w:rPr>
          <w:lang w:val="en-CA"/>
        </w:rPr>
        <w:t xml:space="preserve">The risk of </w:t>
      </w:r>
      <w:r w:rsidR="002C702F" w:rsidRPr="00A73C45">
        <w:rPr>
          <w:lang w:val="en-CA"/>
        </w:rPr>
        <w:t xml:space="preserve">the primary efficacy endpoint of </w:t>
      </w:r>
      <w:r w:rsidRPr="00A73C45">
        <w:rPr>
          <w:lang w:val="en-CA"/>
        </w:rPr>
        <w:t>new MRI-proven brain infarction or death by 60 days will be summarized in the same way. In addition, we will perform a linear trend test for group differences based on logistic regression with adjustment for gender, MRC grade, and age.</w:t>
      </w:r>
    </w:p>
    <w:p w:rsidR="002C702F" w:rsidRPr="00A73C45" w:rsidRDefault="002C702F" w:rsidP="001B4484">
      <w:pPr>
        <w:rPr>
          <w:lang w:val="en-CA"/>
        </w:rPr>
      </w:pPr>
      <w:r w:rsidRPr="00A73C45">
        <w:rPr>
          <w:lang w:val="en-CA"/>
        </w:rPr>
        <w:t>The risk of disability or death will be summarized as for the primary efficacy endpoint and the analysis of overall survival during</w:t>
      </w:r>
      <w:r w:rsidR="008C28A0">
        <w:rPr>
          <w:lang w:val="en-CA"/>
        </w:rPr>
        <w:t xml:space="preserve"> 240</w:t>
      </w:r>
      <w:r w:rsidRPr="00A73C45">
        <w:rPr>
          <w:lang w:val="en-CA"/>
        </w:rPr>
        <w:t xml:space="preserve"> days will be based on Kaplan-Meier graphs and Cox regression. The frequency of adverse events in each study arm and resolution of CSF inflammation will be </w:t>
      </w:r>
      <w:r w:rsidR="00B2623E" w:rsidRPr="00A73C45">
        <w:rPr>
          <w:lang w:val="en-CA"/>
        </w:rPr>
        <w:t>analysed</w:t>
      </w:r>
      <w:r w:rsidRPr="00A73C45">
        <w:rPr>
          <w:lang w:val="en-CA"/>
        </w:rPr>
        <w:t xml:space="preserve"> descriptively.</w:t>
      </w:r>
    </w:p>
    <w:p w:rsidR="002C702F" w:rsidRPr="00A73C45" w:rsidRDefault="002C702F" w:rsidP="001B4484">
      <w:pPr>
        <w:rPr>
          <w:lang w:val="en-CA"/>
        </w:rPr>
      </w:pPr>
      <w:r w:rsidRPr="00A73C45">
        <w:rPr>
          <w:lang w:val="en-CA"/>
        </w:rPr>
        <w:t>Analyses t</w:t>
      </w:r>
      <w:r w:rsidR="001A326A" w:rsidRPr="00A73C45">
        <w:rPr>
          <w:lang w:val="en-CA"/>
        </w:rPr>
        <w:t>o explore</w:t>
      </w:r>
      <w:r w:rsidRPr="00A73C45">
        <w:rPr>
          <w:lang w:val="en-CA"/>
        </w:rPr>
        <w:t xml:space="preserve"> the effect of LTA4H genotype will include this information</w:t>
      </w:r>
      <w:r w:rsidR="007D4726" w:rsidRPr="00A73C45">
        <w:rPr>
          <w:lang w:val="en-CA"/>
        </w:rPr>
        <w:t xml:space="preserve"> as an additional covariate in</w:t>
      </w:r>
      <w:r w:rsidRPr="00A73C45">
        <w:rPr>
          <w:lang w:val="en-CA"/>
        </w:rPr>
        <w:t xml:space="preserve"> the regression models.</w:t>
      </w:r>
    </w:p>
    <w:p w:rsidR="002C702F" w:rsidRPr="00A73C45" w:rsidRDefault="002C702F" w:rsidP="001B4484">
      <w:pPr>
        <w:rPr>
          <w:lang w:val="en-CA"/>
        </w:rPr>
      </w:pPr>
      <w:r w:rsidRPr="00A73C45">
        <w:rPr>
          <w:lang w:val="en-CA"/>
        </w:rPr>
        <w:t>As this is a pilot study of relatively small size and limited power, p-values will be interpreted with caution and a one-sided p-value &lt;0.1 will be regarded as mild evidence for an effect. Corresponding two-sided 95% confidence intervals will be provided for all tests to assess the range of plausible magnitudes of effects given the data.</w:t>
      </w:r>
    </w:p>
    <w:p w:rsidR="002C702F" w:rsidRPr="00A73C45" w:rsidRDefault="00A40FE6" w:rsidP="001B4484">
      <w:pPr>
        <w:rPr>
          <w:lang w:val="en-CA"/>
        </w:rPr>
      </w:pPr>
      <w:r w:rsidRPr="00A73C45">
        <w:rPr>
          <w:lang w:val="en-CA"/>
        </w:rPr>
        <w:lastRenderedPageBreak/>
        <w:t>No imputation of missing data will be performed. For the analysis of GI</w:t>
      </w:r>
      <w:r w:rsidR="00B2623E" w:rsidRPr="00A73C45">
        <w:rPr>
          <w:lang w:val="en-CA"/>
        </w:rPr>
        <w:t>/cerebral</w:t>
      </w:r>
      <w:r w:rsidRPr="00A73C45">
        <w:rPr>
          <w:lang w:val="en-CA"/>
        </w:rPr>
        <w:t xml:space="preserve"> bleeding</w:t>
      </w:r>
      <w:r w:rsidR="005C6B93" w:rsidRPr="00A73C45">
        <w:rPr>
          <w:lang w:val="en-CA"/>
        </w:rPr>
        <w:t xml:space="preserve"> </w:t>
      </w:r>
      <w:r w:rsidRPr="00A73C45">
        <w:rPr>
          <w:lang w:val="en-CA"/>
        </w:rPr>
        <w:t xml:space="preserve">by day 60, patients lost to follow-up before day 60 (without prior GI bleeding) will be excluded from the analysis to get a conservative estimate of the true proportion of bleeding in the aspirin groups. The analysis of the primary efficacy endpoint will exclude patients with missing baseline or follow-up MRI scans (except for prior death). </w:t>
      </w:r>
    </w:p>
    <w:p w:rsidR="00A40FE6" w:rsidRPr="00A73C45" w:rsidRDefault="00A40FE6" w:rsidP="001B4484">
      <w:pPr>
        <w:rPr>
          <w:lang w:val="en-CA"/>
        </w:rPr>
      </w:pPr>
      <w:r w:rsidRPr="00A73C45">
        <w:rPr>
          <w:lang w:val="en-CA"/>
        </w:rPr>
        <w:t>All analyses will analyze patients according to their randomized treatment group.</w:t>
      </w:r>
    </w:p>
    <w:p w:rsidR="00F84AE3" w:rsidRPr="00A73C45" w:rsidRDefault="00F84AE3">
      <w:pPr>
        <w:pStyle w:val="Heading1"/>
        <w:rPr>
          <w:lang w:val="en-CA"/>
        </w:rPr>
      </w:pPr>
      <w:bookmarkStart w:id="105" w:name="_Toc387306512"/>
      <w:r w:rsidRPr="00A73C45">
        <w:rPr>
          <w:lang w:val="en-CA"/>
        </w:rPr>
        <w:t>DATA</w:t>
      </w:r>
      <w:bookmarkEnd w:id="105"/>
    </w:p>
    <w:p w:rsidR="0068048D" w:rsidRPr="00A73C45" w:rsidRDefault="0068048D" w:rsidP="003A4A48">
      <w:pPr>
        <w:pStyle w:val="Heading2"/>
        <w:rPr>
          <w:lang w:val="en-CA"/>
        </w:rPr>
      </w:pPr>
      <w:bookmarkStart w:id="106" w:name="_Toc212179459"/>
      <w:bookmarkStart w:id="107" w:name="_Toc387306513"/>
      <w:r w:rsidRPr="00A73C45">
        <w:rPr>
          <w:lang w:val="en-CA"/>
        </w:rPr>
        <w:t>Data collection and entry</w:t>
      </w:r>
      <w:bookmarkEnd w:id="106"/>
      <w:bookmarkEnd w:id="107"/>
    </w:p>
    <w:p w:rsidR="0068048D" w:rsidRPr="00A73C45" w:rsidRDefault="0068048D" w:rsidP="0068048D">
      <w:pPr>
        <w:rPr>
          <w:lang w:val="en-CA"/>
        </w:rPr>
      </w:pPr>
      <w:r w:rsidRPr="00A73C45">
        <w:rPr>
          <w:lang w:val="en-CA"/>
        </w:rPr>
        <w:t xml:space="preserve">Source documents will be generated during the study by the site </w:t>
      </w:r>
      <w:r w:rsidR="004C0258">
        <w:rPr>
          <w:lang w:val="en-CA"/>
        </w:rPr>
        <w:t xml:space="preserve">ward and </w:t>
      </w:r>
      <w:r w:rsidRPr="00A73C45">
        <w:rPr>
          <w:lang w:val="en-CA"/>
        </w:rPr>
        <w:t xml:space="preserve">study staff.  Source documents include all original recordings of observations or notations of clinical activities, and all reports and records necessary for the evaluation and reconstruction of the clinical trial.  Source documents include, but are not limited to, the subject’s medical records, research case record forms (paper or electronic), </w:t>
      </w:r>
      <w:r w:rsidR="004C0258">
        <w:rPr>
          <w:lang w:val="en-CA"/>
        </w:rPr>
        <w:t>laboratory reports</w:t>
      </w:r>
      <w:r w:rsidRPr="00A73C45">
        <w:rPr>
          <w:lang w:val="en-CA"/>
        </w:rPr>
        <w:t xml:space="preserve">, </w:t>
      </w:r>
      <w:r w:rsidR="004C0258">
        <w:rPr>
          <w:lang w:val="en-CA"/>
        </w:rPr>
        <w:t>MRI data, radiologist’s reports</w:t>
      </w:r>
      <w:r w:rsidRPr="00A73C45">
        <w:rPr>
          <w:lang w:val="en-CA"/>
        </w:rPr>
        <w:t xml:space="preserve">, progress notes, pharmacy records, and any other similar reports or records of procedures performed during the subject’s participation in the study.  </w:t>
      </w:r>
    </w:p>
    <w:p w:rsidR="0068048D" w:rsidRPr="00A73C45" w:rsidRDefault="0068048D" w:rsidP="0068048D">
      <w:pPr>
        <w:rPr>
          <w:lang w:val="en-CA"/>
        </w:rPr>
      </w:pPr>
    </w:p>
    <w:p w:rsidR="0068048D" w:rsidRPr="00A73C45" w:rsidRDefault="0068048D" w:rsidP="001C211A">
      <w:pPr>
        <w:rPr>
          <w:lang w:val="en-CA"/>
        </w:rPr>
      </w:pPr>
      <w:r w:rsidRPr="00A73C45">
        <w:rPr>
          <w:lang w:val="en-CA"/>
        </w:rPr>
        <w:t>Access to applicable source documents is required for study purposes.  The site investigators are responsible for maintaining any source documentation related to the study.  Source documentation should support the data collected on the CRF when the CRF is not the original site of recording</w:t>
      </w:r>
      <w:r w:rsidR="003B2018">
        <w:rPr>
          <w:lang w:val="en-CA"/>
        </w:rPr>
        <w:t>, or else the reason for the difference documented</w:t>
      </w:r>
      <w:r w:rsidRPr="00A73C45">
        <w:rPr>
          <w:lang w:val="en-CA"/>
        </w:rPr>
        <w:t>.  Source documentation must be available for review or audit by the sponsor or designee and any applicable regulatory authorities.</w:t>
      </w:r>
      <w:r w:rsidRPr="00A73C45">
        <w:rPr>
          <w:lang w:val="en-CA"/>
        </w:rPr>
        <w:br/>
      </w:r>
    </w:p>
    <w:p w:rsidR="0068048D" w:rsidRPr="00A73C45" w:rsidRDefault="0068048D" w:rsidP="0068048D">
      <w:pPr>
        <w:rPr>
          <w:lang w:val="en-CA"/>
        </w:rPr>
      </w:pPr>
      <w:r w:rsidRPr="00A73C45">
        <w:rPr>
          <w:lang w:val="en-CA"/>
        </w:rPr>
        <w:t>Case Report Forms (CRFs) will be used as a data collection tool. CRFs may be used as source documents if they are the primary data collection tool for specified data as documented in written standard operating procedures.  The site Investigators are responsible for maintaining accurate, complete and up-to-date records.  These forms are to be completed on an ongoing basis during the course of the study by authorized individuals. </w:t>
      </w:r>
    </w:p>
    <w:p w:rsidR="0068048D" w:rsidRPr="00A73C45" w:rsidRDefault="0068048D" w:rsidP="0068048D">
      <w:pPr>
        <w:rPr>
          <w:lang w:val="en-CA"/>
        </w:rPr>
      </w:pPr>
    </w:p>
    <w:p w:rsidR="0068048D" w:rsidRPr="00A73C45" w:rsidRDefault="0068048D" w:rsidP="0068048D">
      <w:pPr>
        <w:rPr>
          <w:lang w:val="en-CA"/>
        </w:rPr>
      </w:pPr>
      <w:r w:rsidRPr="00A73C45">
        <w:rPr>
          <w:lang w:val="en-CA"/>
        </w:rPr>
        <w:t xml:space="preserve">Corrections to paper CRFs must be </w:t>
      </w:r>
      <w:r w:rsidR="00344C3A" w:rsidRPr="00A73C45">
        <w:rPr>
          <w:lang w:val="en-CA"/>
        </w:rPr>
        <w:t>initialled</w:t>
      </w:r>
      <w:r w:rsidRPr="00A73C45">
        <w:rPr>
          <w:lang w:val="en-CA"/>
        </w:rPr>
        <w:t xml:space="preserve"> and dated by the person making the correction and must not obliterate the original entry.  All CRFs should be reviewed by the designated study staff and signed as required with written or electronic signature, as appropriate.</w:t>
      </w:r>
    </w:p>
    <w:p w:rsidR="0068048D" w:rsidRPr="00A73C45" w:rsidRDefault="0068048D" w:rsidP="0068048D">
      <w:pPr>
        <w:rPr>
          <w:lang w:val="en-CA"/>
        </w:rPr>
      </w:pPr>
    </w:p>
    <w:p w:rsidR="0068048D" w:rsidRPr="00A73C45" w:rsidRDefault="0068048D" w:rsidP="0068048D">
      <w:pPr>
        <w:rPr>
          <w:lang w:val="en-CA"/>
        </w:rPr>
      </w:pPr>
      <w:r w:rsidRPr="00A73C45">
        <w:rPr>
          <w:lang w:val="en-CA"/>
        </w:rPr>
        <w:t>Selected study members will be trained on how to enter all clinical data as source information from the CRFs and from laboratory source documents into an internet-based computerized data entry system called</w:t>
      </w:r>
      <w:r w:rsidR="004C0258">
        <w:rPr>
          <w:lang w:val="en-CA"/>
        </w:rPr>
        <w:t xml:space="preserve"> CliRes hosted by OUCRU.</w:t>
      </w:r>
      <w:r w:rsidR="00F940C8">
        <w:rPr>
          <w:lang w:val="en-CA"/>
        </w:rPr>
        <w:t xml:space="preserve"> </w:t>
      </w:r>
      <w:r w:rsidR="004C0258">
        <w:rPr>
          <w:lang w:val="en-CA"/>
        </w:rPr>
        <w:t xml:space="preserve"> </w:t>
      </w:r>
      <w:r w:rsidRPr="00A73C45">
        <w:rPr>
          <w:lang w:val="en-CA"/>
        </w:rPr>
        <w:t xml:space="preserve">Source documents and </w:t>
      </w:r>
      <w:r w:rsidRPr="00A73C45">
        <w:rPr>
          <w:lang w:val="en-CA"/>
        </w:rPr>
        <w:lastRenderedPageBreak/>
        <w:t xml:space="preserve">electronic data will be verified according to the </w:t>
      </w:r>
      <w:r w:rsidR="004C0258">
        <w:rPr>
          <w:lang w:val="en-CA"/>
        </w:rPr>
        <w:t xml:space="preserve">Data Management Plan and </w:t>
      </w:r>
      <w:r w:rsidRPr="00A73C45">
        <w:rPr>
          <w:lang w:val="en-CA"/>
        </w:rPr>
        <w:t>Trial Monitoring Plan.</w:t>
      </w:r>
    </w:p>
    <w:p w:rsidR="0068048D" w:rsidRPr="00A73C45" w:rsidRDefault="0068048D" w:rsidP="0068048D">
      <w:pPr>
        <w:rPr>
          <w:lang w:val="en-CA"/>
        </w:rPr>
      </w:pPr>
    </w:p>
    <w:p w:rsidR="0068048D" w:rsidRPr="00A73C45" w:rsidRDefault="0068048D" w:rsidP="003A4A48">
      <w:pPr>
        <w:pStyle w:val="Heading2"/>
        <w:rPr>
          <w:lang w:val="en-CA"/>
        </w:rPr>
      </w:pPr>
      <w:bookmarkStart w:id="108" w:name="_Toc243888207"/>
      <w:bookmarkStart w:id="109" w:name="_Toc309823796"/>
      <w:bookmarkStart w:id="110" w:name="_Toc212179460"/>
      <w:bookmarkStart w:id="111" w:name="_Toc387306514"/>
      <w:r w:rsidRPr="00A73C45">
        <w:rPr>
          <w:lang w:val="en-CA"/>
        </w:rPr>
        <w:t>Record Retention</w:t>
      </w:r>
      <w:bookmarkEnd w:id="108"/>
      <w:bookmarkEnd w:id="109"/>
      <w:bookmarkEnd w:id="110"/>
      <w:bookmarkEnd w:id="111"/>
    </w:p>
    <w:p w:rsidR="0068048D" w:rsidRDefault="0068048D" w:rsidP="0068048D">
      <w:pPr>
        <w:rPr>
          <w:lang w:val="en-CA"/>
        </w:rPr>
      </w:pPr>
      <w:r w:rsidRPr="00A73C45">
        <w:rPr>
          <w:lang w:val="en-CA"/>
        </w:rPr>
        <w:t>The investigator is responsible for retaining all essential</w:t>
      </w:r>
      <w:r w:rsidR="00F940C8">
        <w:rPr>
          <w:lang w:val="en-CA"/>
        </w:rPr>
        <w:t xml:space="preserve"> for at least 15 years after the completion of the trial</w:t>
      </w:r>
      <w:r w:rsidRPr="00A73C45">
        <w:rPr>
          <w:lang w:val="en-CA"/>
        </w:rPr>
        <w:t>.</w:t>
      </w:r>
      <w:r w:rsidR="00F940C8">
        <w:rPr>
          <w:lang w:val="en-CA"/>
        </w:rPr>
        <w:t xml:space="preserve">  Original paper documents will be maintained for a minimum of 5 years and electronic documents retained thereafter. </w:t>
      </w:r>
      <w:r w:rsidRPr="00A73C45">
        <w:rPr>
          <w:lang w:val="en-CA"/>
        </w:rPr>
        <w:t xml:space="preserve"> All stored records are to be kept secure and confidential. </w:t>
      </w:r>
    </w:p>
    <w:p w:rsidR="00F940C8" w:rsidRPr="00A73C45" w:rsidRDefault="00F940C8" w:rsidP="0068048D">
      <w:pPr>
        <w:rPr>
          <w:lang w:val="en-CA"/>
        </w:rPr>
      </w:pPr>
    </w:p>
    <w:p w:rsidR="00F84AE3" w:rsidRPr="00A73C45" w:rsidRDefault="00F84AE3">
      <w:pPr>
        <w:pStyle w:val="Heading1"/>
        <w:rPr>
          <w:lang w:val="en-CA"/>
        </w:rPr>
      </w:pPr>
      <w:bookmarkStart w:id="112" w:name="_Toc387306515"/>
      <w:r w:rsidRPr="00A73C45">
        <w:rPr>
          <w:lang w:val="en-CA"/>
        </w:rPr>
        <w:t>QUALITY CONTROL AND QUALITY ASSURANCE PROCEDURES</w:t>
      </w:r>
      <w:bookmarkEnd w:id="112"/>
    </w:p>
    <w:p w:rsidR="00F84AE3" w:rsidRPr="00A73C45" w:rsidRDefault="00F84AE3" w:rsidP="00B2623E">
      <w:pPr>
        <w:pStyle w:val="NormalIndent"/>
        <w:ind w:left="0"/>
        <w:rPr>
          <w:lang w:val="en-CA"/>
        </w:rPr>
      </w:pPr>
      <w:r w:rsidRPr="00A73C45">
        <w:rPr>
          <w:lang w:val="en-CA"/>
        </w:rPr>
        <w:t xml:space="preserve">The study will be conducted in accordance with the current approved protocol, ICH GCP, relevant regulations and standard operating procedures. </w:t>
      </w:r>
    </w:p>
    <w:p w:rsidR="00F84AE3" w:rsidRDefault="00F84AE3" w:rsidP="00B2623E">
      <w:pPr>
        <w:pStyle w:val="NormalIndent"/>
        <w:ind w:left="0"/>
        <w:rPr>
          <w:lang w:val="en-CA"/>
        </w:rPr>
      </w:pPr>
      <w:r w:rsidRPr="00A73C45">
        <w:rPr>
          <w:lang w:val="en-CA"/>
        </w:rPr>
        <w:t>Regular monitoring will be performed according to ICH GCP</w:t>
      </w:r>
      <w:r w:rsidR="001B4484" w:rsidRPr="00A73C45">
        <w:rPr>
          <w:lang w:val="en-CA"/>
        </w:rPr>
        <w:t xml:space="preserve"> by OUCRU CTU</w:t>
      </w:r>
      <w:r w:rsidRPr="00A73C45">
        <w:rPr>
          <w:lang w:val="en-CA"/>
        </w:rPr>
        <w:t>. Data</w:t>
      </w:r>
      <w:r w:rsidR="00F940C8">
        <w:rPr>
          <w:lang w:val="en-CA"/>
        </w:rPr>
        <w:t>, drugs, samples and procedures</w:t>
      </w:r>
      <w:r w:rsidRPr="00A73C45">
        <w:rPr>
          <w:lang w:val="en-CA"/>
        </w:rPr>
        <w:t xml:space="preserve"> </w:t>
      </w:r>
      <w:r w:rsidR="00F940C8">
        <w:rPr>
          <w:lang w:val="en-CA"/>
        </w:rPr>
        <w:t xml:space="preserve">will be evaluated for compliance with the protocol, standard operating procedures, regulatory requirements and terms of ethical approval.  Records </w:t>
      </w:r>
      <w:r w:rsidRPr="00A73C45">
        <w:rPr>
          <w:lang w:val="en-CA"/>
        </w:rPr>
        <w:t xml:space="preserve">will be </w:t>
      </w:r>
      <w:r w:rsidR="00F940C8">
        <w:rPr>
          <w:lang w:val="en-CA"/>
        </w:rPr>
        <w:t xml:space="preserve">verified for </w:t>
      </w:r>
      <w:r w:rsidRPr="00A73C45">
        <w:rPr>
          <w:lang w:val="en-CA"/>
        </w:rPr>
        <w:t xml:space="preserve">accuracy </w:t>
      </w:r>
      <w:r w:rsidR="00F940C8">
        <w:rPr>
          <w:lang w:val="en-CA"/>
        </w:rPr>
        <w:t>against</w:t>
      </w:r>
      <w:r w:rsidRPr="00A73C45">
        <w:rPr>
          <w:lang w:val="en-CA"/>
        </w:rPr>
        <w:t xml:space="preserve"> source documents</w:t>
      </w:r>
      <w:r w:rsidR="00F940C8">
        <w:rPr>
          <w:lang w:val="en-CA"/>
        </w:rPr>
        <w:t xml:space="preserve"> and physical inventory of drugs and samples</w:t>
      </w:r>
      <w:r w:rsidRPr="00A73C45">
        <w:rPr>
          <w:lang w:val="en-CA"/>
        </w:rPr>
        <w:t xml:space="preserve">. </w:t>
      </w:r>
    </w:p>
    <w:p w:rsidR="00F940C8" w:rsidRPr="00A73C45" w:rsidRDefault="00F940C8" w:rsidP="00B2623E">
      <w:pPr>
        <w:pStyle w:val="NormalIndent"/>
        <w:ind w:left="0"/>
        <w:rPr>
          <w:lang w:val="en-CA"/>
        </w:rPr>
      </w:pPr>
    </w:p>
    <w:p w:rsidR="00F46C98" w:rsidRPr="00F940C8" w:rsidRDefault="00F84AE3" w:rsidP="00F46C98">
      <w:pPr>
        <w:pStyle w:val="Heading1"/>
        <w:rPr>
          <w:rStyle w:val="PTBodyTextNormal"/>
          <w:rFonts w:ascii="Arial" w:hAnsi="Arial"/>
          <w:lang w:val="en-CA"/>
        </w:rPr>
      </w:pPr>
      <w:bookmarkStart w:id="113" w:name="_Toc387306516"/>
      <w:r w:rsidRPr="00A73C45">
        <w:rPr>
          <w:lang w:val="en-CA"/>
        </w:rPr>
        <w:t>ETHICS</w:t>
      </w:r>
      <w:bookmarkEnd w:id="113"/>
    </w:p>
    <w:p w:rsidR="00F84AE3" w:rsidRPr="00A73C45" w:rsidRDefault="00F940C8" w:rsidP="003A4A48">
      <w:pPr>
        <w:pStyle w:val="Heading2"/>
        <w:rPr>
          <w:lang w:val="en-CA"/>
        </w:rPr>
      </w:pPr>
      <w:bookmarkStart w:id="114" w:name="_Toc387306517"/>
      <w:r>
        <w:rPr>
          <w:lang w:val="en-CA"/>
        </w:rPr>
        <w:t xml:space="preserve">Ethical </w:t>
      </w:r>
      <w:r w:rsidR="00B732A3">
        <w:rPr>
          <w:lang w:val="en-CA"/>
        </w:rPr>
        <w:t xml:space="preserve">and Regulatory </w:t>
      </w:r>
      <w:r>
        <w:rPr>
          <w:lang w:val="en-CA"/>
        </w:rPr>
        <w:t>Guidelines</w:t>
      </w:r>
      <w:bookmarkEnd w:id="114"/>
    </w:p>
    <w:p w:rsidR="009344A6" w:rsidRPr="00A73C45" w:rsidRDefault="00F84AE3" w:rsidP="00F46C98">
      <w:pPr>
        <w:pStyle w:val="NormalIndent"/>
        <w:ind w:left="0"/>
        <w:rPr>
          <w:lang w:val="en-CA"/>
        </w:rPr>
      </w:pPr>
      <w:r w:rsidRPr="00A73C45">
        <w:rPr>
          <w:lang w:val="en-CA"/>
        </w:rPr>
        <w:t>The Investigator will ensure that this study is conducted in accordance with the principles of the Declaration of Helsinki</w:t>
      </w:r>
      <w:r w:rsidR="00F940C8">
        <w:rPr>
          <w:lang w:val="en-CA"/>
        </w:rPr>
        <w:t xml:space="preserve"> (Seoul 2008) and the terms of approval of the appropriate ethical committees</w:t>
      </w:r>
      <w:r w:rsidRPr="00A73C45">
        <w:rPr>
          <w:lang w:val="en-CA"/>
        </w:rPr>
        <w:t>.</w:t>
      </w:r>
    </w:p>
    <w:p w:rsidR="00F84AE3" w:rsidRPr="00A73C45" w:rsidRDefault="00F84AE3" w:rsidP="00F46C98">
      <w:pPr>
        <w:pStyle w:val="NormalIndent"/>
        <w:ind w:left="0"/>
        <w:rPr>
          <w:lang w:val="en-CA"/>
        </w:rPr>
      </w:pPr>
      <w:r w:rsidRPr="00A73C45">
        <w:rPr>
          <w:lang w:val="en-CA"/>
        </w:rPr>
        <w:t>The Investigator will ensure that this study is conducted in full conformity with relevant regulations and with the ICH Guidelines for Good Cli</w:t>
      </w:r>
      <w:r w:rsidR="00B732A3">
        <w:rPr>
          <w:lang w:val="en-CA"/>
        </w:rPr>
        <w:t>nical Practice</w:t>
      </w:r>
      <w:r w:rsidRPr="00A73C45">
        <w:rPr>
          <w:lang w:val="en-CA"/>
        </w:rPr>
        <w:t xml:space="preserve"> July 1996.</w:t>
      </w:r>
    </w:p>
    <w:p w:rsidR="009344A6" w:rsidRPr="00A73C45" w:rsidRDefault="009344A6" w:rsidP="00F46C98">
      <w:pPr>
        <w:pStyle w:val="NormalIndent"/>
        <w:ind w:left="0"/>
        <w:rPr>
          <w:lang w:val="en-CA"/>
        </w:rPr>
      </w:pPr>
    </w:p>
    <w:p w:rsidR="00F84AE3" w:rsidRPr="00A73C45" w:rsidRDefault="00B732A3" w:rsidP="003A4A48">
      <w:pPr>
        <w:pStyle w:val="Heading2"/>
        <w:rPr>
          <w:lang w:val="en-CA"/>
        </w:rPr>
      </w:pPr>
      <w:bookmarkStart w:id="115" w:name="_Toc387306518"/>
      <w:r>
        <w:rPr>
          <w:lang w:val="en-CA"/>
        </w:rPr>
        <w:t>Ethical Review</w:t>
      </w:r>
      <w:bookmarkEnd w:id="115"/>
    </w:p>
    <w:p w:rsidR="00F84AE3" w:rsidRPr="00A73C45" w:rsidRDefault="00F46C98" w:rsidP="00697D47">
      <w:pPr>
        <w:pStyle w:val="NormalIndent"/>
        <w:ind w:left="0"/>
        <w:rPr>
          <w:lang w:val="en-CA"/>
        </w:rPr>
      </w:pPr>
      <w:r w:rsidRPr="00A73C45">
        <w:rPr>
          <w:lang w:val="en-CA"/>
        </w:rPr>
        <w:t>This</w:t>
      </w:r>
      <w:r w:rsidR="00F84AE3" w:rsidRPr="00A73C45">
        <w:rPr>
          <w:lang w:val="en-CA"/>
        </w:rPr>
        <w:t xml:space="preserve"> protocol</w:t>
      </w:r>
      <w:r w:rsidR="00B732A3">
        <w:rPr>
          <w:lang w:val="en-CA"/>
        </w:rPr>
        <w:t xml:space="preserve"> and</w:t>
      </w:r>
      <w:r w:rsidR="00F84AE3" w:rsidRPr="00A73C45">
        <w:rPr>
          <w:lang w:val="en-CA"/>
        </w:rPr>
        <w:t xml:space="preserve"> </w:t>
      </w:r>
      <w:r w:rsidR="00B732A3">
        <w:rPr>
          <w:lang w:val="en-CA"/>
        </w:rPr>
        <w:t xml:space="preserve">all associated </w:t>
      </w:r>
      <w:r w:rsidR="00F84AE3" w:rsidRPr="00A73C45">
        <w:rPr>
          <w:lang w:val="en-CA"/>
        </w:rPr>
        <w:t>informed consent form</w:t>
      </w:r>
      <w:r w:rsidR="00B732A3">
        <w:rPr>
          <w:lang w:val="en-CA"/>
        </w:rPr>
        <w:t>s</w:t>
      </w:r>
      <w:r w:rsidR="00F84AE3" w:rsidRPr="00A73C45">
        <w:rPr>
          <w:lang w:val="en-CA"/>
        </w:rPr>
        <w:t xml:space="preserve"> will be submitted to </w:t>
      </w:r>
      <w:r w:rsidR="00B732A3">
        <w:rPr>
          <w:lang w:val="en-CA"/>
        </w:rPr>
        <w:t xml:space="preserve">the ethical committee of the Hospital for Tropical Diseases and the Viet Nam Ministry of Health.  </w:t>
      </w:r>
      <w:r w:rsidR="00F84AE3" w:rsidRPr="00A73C45">
        <w:rPr>
          <w:lang w:val="en-CA"/>
        </w:rPr>
        <w:t>The Investigator</w:t>
      </w:r>
      <w:r w:rsidR="00697D47" w:rsidRPr="00A73C45">
        <w:rPr>
          <w:lang w:val="en-CA"/>
        </w:rPr>
        <w:t>s</w:t>
      </w:r>
      <w:r w:rsidR="00F84AE3" w:rsidRPr="00A73C45">
        <w:rPr>
          <w:lang w:val="en-CA"/>
        </w:rPr>
        <w:t xml:space="preserve"> will submit and, where necessary, obtain approval from the above parties for all substantial amendments to the</w:t>
      </w:r>
      <w:r w:rsidR="009344A6" w:rsidRPr="00A73C45">
        <w:rPr>
          <w:lang w:val="en-CA"/>
        </w:rPr>
        <w:t xml:space="preserve"> original approved documents. </w:t>
      </w:r>
    </w:p>
    <w:p w:rsidR="009344A6" w:rsidRPr="00A73C45" w:rsidRDefault="009344A6" w:rsidP="00697D47">
      <w:pPr>
        <w:pStyle w:val="NormalIndent"/>
        <w:ind w:left="0"/>
        <w:rPr>
          <w:lang w:val="en-CA"/>
        </w:rPr>
      </w:pPr>
    </w:p>
    <w:p w:rsidR="00F940C8" w:rsidRDefault="00F940C8" w:rsidP="003A4A48">
      <w:pPr>
        <w:pStyle w:val="Heading2"/>
        <w:rPr>
          <w:lang w:val="en-CA"/>
        </w:rPr>
      </w:pPr>
      <w:bookmarkStart w:id="116" w:name="_Toc387306519"/>
      <w:bookmarkStart w:id="117" w:name="_Toc386848270"/>
      <w:bookmarkStart w:id="118" w:name="_Toc386848331"/>
      <w:bookmarkStart w:id="119" w:name="_Toc386848392"/>
      <w:bookmarkStart w:id="120" w:name="_Toc386848453"/>
      <w:bookmarkStart w:id="121" w:name="_Toc386849391"/>
      <w:bookmarkStart w:id="122" w:name="_Toc386862559"/>
      <w:bookmarkStart w:id="123" w:name="_Toc493663592"/>
      <w:bookmarkStart w:id="124" w:name="_Toc531145882"/>
      <w:bookmarkStart w:id="125" w:name="_Toc16913573"/>
      <w:r>
        <w:rPr>
          <w:lang w:val="en-CA"/>
        </w:rPr>
        <w:t>Informed Consent</w:t>
      </w:r>
      <w:bookmarkEnd w:id="116"/>
    </w:p>
    <w:p w:rsidR="00CA4779" w:rsidRDefault="00CA4779" w:rsidP="00760A3B">
      <w:r>
        <w:t xml:space="preserve">Written informed consent will be obtained from all study participants or their representatives before any study interventions take place.  </w:t>
      </w:r>
    </w:p>
    <w:p w:rsidR="00760A3B" w:rsidRDefault="00760A3B" w:rsidP="00760A3B">
      <w:r w:rsidRPr="00077D32">
        <w:lastRenderedPageBreak/>
        <w:t>The study staff will discuss the study with all potential adult pa</w:t>
      </w:r>
      <w:r w:rsidR="005D27EB">
        <w:t>tients</w:t>
      </w:r>
      <w:r w:rsidRPr="00077D32">
        <w:t xml:space="preserve"> or, in the case of </w:t>
      </w:r>
      <w:r>
        <w:t>a pa</w:t>
      </w:r>
      <w:r w:rsidR="005D27EB">
        <w:t>tient</w:t>
      </w:r>
      <w:r>
        <w:t xml:space="preserve"> who is unable to give informed consent independently, with an appropriate representative.  </w:t>
      </w:r>
      <w:r w:rsidRPr="00077D32">
        <w:t xml:space="preserve">Study staff will describe the purpose of the study, the study procedures, possible risks/benefits, the rights and responsibilities of </w:t>
      </w:r>
      <w:r w:rsidR="005D27EB">
        <w:t>patient</w:t>
      </w:r>
      <w:r w:rsidRPr="00077D32">
        <w:t xml:space="preserve">, and alternatives to enrolment.  The </w:t>
      </w:r>
      <w:r w:rsidR="005D27EB">
        <w:t>patient</w:t>
      </w:r>
      <w:r>
        <w:t xml:space="preserve"> or representative </w:t>
      </w:r>
      <w:r w:rsidRPr="00077D32">
        <w:t xml:space="preserve">will be invited to ask questions which will be answered by study staff, and they will be provided with appropriate numbers to contact if they have any questions subsequently. If the </w:t>
      </w:r>
      <w:r w:rsidR="005D27EB">
        <w:t>patient</w:t>
      </w:r>
      <w:r>
        <w:t xml:space="preserve"> or representative </w:t>
      </w:r>
      <w:r w:rsidRPr="00077D32">
        <w:t xml:space="preserve">agrees to participate, they will be asked to sign </w:t>
      </w:r>
      <w:r>
        <w:t xml:space="preserve">and date </w:t>
      </w:r>
      <w:r w:rsidR="005D27EB">
        <w:t>two copies of an</w:t>
      </w:r>
      <w:r w:rsidRPr="00077D32">
        <w:t xml:space="preserve"> informed consent form.  A copy of the form will be given to them to keep.  If </w:t>
      </w:r>
      <w:r>
        <w:t xml:space="preserve">required, </w:t>
      </w:r>
      <w:r w:rsidRPr="00077D32">
        <w:t xml:space="preserve">the </w:t>
      </w:r>
      <w:r w:rsidR="005D27EB">
        <w:t>patient</w:t>
      </w:r>
      <w:r>
        <w:t xml:space="preserve"> or representative </w:t>
      </w:r>
      <w:r w:rsidRPr="00077D32">
        <w:t xml:space="preserve">will be given </w:t>
      </w:r>
      <w:r>
        <w:t>up to 24 hours to consider</w:t>
      </w:r>
      <w:r w:rsidRPr="00077D32">
        <w:t xml:space="preserve"> the study</w:t>
      </w:r>
      <w:r>
        <w:t xml:space="preserve"> provided the </w:t>
      </w:r>
      <w:r w:rsidR="005D27EB">
        <w:t>patient</w:t>
      </w:r>
      <w:r>
        <w:t xml:space="preserve"> remains eligible for the study.</w:t>
      </w:r>
    </w:p>
    <w:p w:rsidR="00760A3B" w:rsidRDefault="00760A3B" w:rsidP="00760A3B">
      <w:r>
        <w:t>P</w:t>
      </w:r>
      <w:r w:rsidR="005D27EB">
        <w:t>atients</w:t>
      </w:r>
      <w:r>
        <w:t xml:space="preserve"> who were consented by a representative will be approached to consider consent independently if at any time during study participation s/he becomes able to consider consent independently.  </w:t>
      </w:r>
    </w:p>
    <w:p w:rsidR="00760A3B" w:rsidRPr="00077D32" w:rsidRDefault="00760A3B" w:rsidP="00760A3B">
      <w:r w:rsidRPr="00077D32">
        <w:t>In addition to the procedures above, illite</w:t>
      </w:r>
      <w:r>
        <w:t>rate signatories will have the i</w:t>
      </w:r>
      <w:r w:rsidRPr="00077D32">
        <w:t xml:space="preserve">nformed </w:t>
      </w:r>
      <w:r>
        <w:t>c</w:t>
      </w:r>
      <w:r w:rsidRPr="00077D32">
        <w:t>onsent</w:t>
      </w:r>
      <w:r>
        <w:t xml:space="preserve"> f</w:t>
      </w:r>
      <w:r w:rsidRPr="00077D32">
        <w:t>orm read to them in the presence of a witness who will sign to confirm th</w:t>
      </w:r>
      <w:r>
        <w:t xml:space="preserve">at the form was read accurately and that the participant or representative agrees to participation.  </w:t>
      </w:r>
      <w:r w:rsidRPr="00077D32">
        <w:t xml:space="preserve">All </w:t>
      </w:r>
      <w:r w:rsidR="005D27EB">
        <w:t>informed c</w:t>
      </w:r>
      <w:r w:rsidRPr="00077D32">
        <w:t>onsent</w:t>
      </w:r>
      <w:r w:rsidR="005D27EB">
        <w:t xml:space="preserve"> forms</w:t>
      </w:r>
      <w:r w:rsidRPr="00077D32">
        <w:t xml:space="preserve"> will be written in the local language and will use terms that are easily understandable.</w:t>
      </w:r>
      <w:r>
        <w:t xml:space="preserve">  Clinical care will not be delayed in any case during consideration of consent.  </w:t>
      </w:r>
    </w:p>
    <w:p w:rsidR="00B732A3" w:rsidRDefault="00B732A3" w:rsidP="00F940C8">
      <w:pPr>
        <w:rPr>
          <w:lang w:val="en-CA"/>
        </w:rPr>
      </w:pPr>
    </w:p>
    <w:p w:rsidR="00B732A3" w:rsidRPr="00B732A3" w:rsidRDefault="00B732A3" w:rsidP="00F940C8">
      <w:pPr>
        <w:pStyle w:val="Heading2"/>
        <w:rPr>
          <w:lang w:val="en-CA"/>
        </w:rPr>
      </w:pPr>
      <w:bookmarkStart w:id="126" w:name="_Toc387306520"/>
      <w:r>
        <w:rPr>
          <w:lang w:val="en-CA"/>
        </w:rPr>
        <w:t>Risks and Benefits</w:t>
      </w:r>
      <w:bookmarkEnd w:id="126"/>
    </w:p>
    <w:p w:rsidR="00F940C8" w:rsidRPr="00A73C45" w:rsidRDefault="00F940C8" w:rsidP="00F940C8">
      <w:pPr>
        <w:rPr>
          <w:lang w:val="en-CA"/>
        </w:rPr>
      </w:pPr>
      <w:r w:rsidRPr="00A73C45">
        <w:rPr>
          <w:lang w:val="en-CA"/>
        </w:rPr>
        <w:t xml:space="preserve">All patients </w:t>
      </w:r>
      <w:r w:rsidR="00B732A3">
        <w:rPr>
          <w:lang w:val="en-CA"/>
        </w:rPr>
        <w:t>will receive the best available</w:t>
      </w:r>
      <w:r w:rsidRPr="00A73C45">
        <w:rPr>
          <w:lang w:val="en-CA"/>
        </w:rPr>
        <w:t xml:space="preserve"> standard-of-care anti-tuberculosis chemotherapy in addition to adjunctive dexamethasone. The anti-tuberculosis drugs have no adverse inter</w:t>
      </w:r>
      <w:r w:rsidR="00B732A3">
        <w:rPr>
          <w:lang w:val="en-CA"/>
        </w:rPr>
        <w:t>actions with aspirin. T</w:t>
      </w:r>
      <w:r w:rsidRPr="00A73C45">
        <w:rPr>
          <w:lang w:val="en-CA"/>
        </w:rPr>
        <w:t xml:space="preserve">he addition of aspirin to dexamethasone </w:t>
      </w:r>
      <w:r w:rsidR="00B732A3">
        <w:rPr>
          <w:lang w:val="en-CA"/>
        </w:rPr>
        <w:t xml:space="preserve">therapy </w:t>
      </w:r>
      <w:r w:rsidRPr="00A73C45">
        <w:rPr>
          <w:lang w:val="en-CA"/>
        </w:rPr>
        <w:t xml:space="preserve">may increase the risk of gastro-intestinal bleeding, hence the pilot nature of this study. Furthermore, it is possible aspirin may increase the risk of cerebral bleeding, although the overall risk of TBM-related cerebral bleeding is considered extremely low (estimated &lt;0.01%). Previous trials of aspirin for TBM, although involving relatively small numbers of patients (n=264), have not reported an increased incidence of bleeding of any time. Nevertheless, we need to know whether aspirin at </w:t>
      </w:r>
      <w:r w:rsidR="00AE026A">
        <w:rPr>
          <w:lang w:val="en-CA"/>
        </w:rPr>
        <w:t>dose of 81mg</w:t>
      </w:r>
      <w:r w:rsidRPr="00A73C45">
        <w:rPr>
          <w:lang w:val="en-CA"/>
        </w:rPr>
        <w:t xml:space="preserve"> or </w:t>
      </w:r>
      <w:r w:rsidR="00AE026A">
        <w:rPr>
          <w:lang w:val="en-CA"/>
        </w:rPr>
        <w:t>1000mg</w:t>
      </w:r>
      <w:r w:rsidRPr="00A73C45">
        <w:rPr>
          <w:lang w:val="en-CA"/>
        </w:rPr>
        <w:t xml:space="preserve"> is safe in this context before larger trials can be contemplated.</w:t>
      </w:r>
    </w:p>
    <w:p w:rsidR="00F940C8" w:rsidRPr="00A73C45" w:rsidRDefault="00F940C8" w:rsidP="00F940C8">
      <w:pPr>
        <w:rPr>
          <w:lang w:val="en-CA"/>
        </w:rPr>
      </w:pPr>
      <w:r w:rsidRPr="00A73C45">
        <w:rPr>
          <w:lang w:val="en-CA"/>
        </w:rPr>
        <w:t>Otherwise, there are few additional risks to patients and nearly all follow-up investigations (including blood tests and repeated lumbar punctures) are part of the normal standard of care for patients with TBM in HTD. Only sequential brain MRIs are not routinely performed, but these are very low risk as they do not expose the patients to radiation.</w:t>
      </w:r>
    </w:p>
    <w:p w:rsidR="00F940C8" w:rsidRPr="00A73C45" w:rsidRDefault="00F940C8" w:rsidP="00F940C8">
      <w:pPr>
        <w:rPr>
          <w:lang w:val="en-CA"/>
        </w:rPr>
      </w:pPr>
      <w:r w:rsidRPr="00A73C45">
        <w:rPr>
          <w:lang w:val="en-CA"/>
        </w:rPr>
        <w:t xml:space="preserve">Against these risks, trial patients may benefit from receiving aspirin by its ability to control intra-cerebral inflammation and reduce the risk of TBM-associated stroke. In addition, all </w:t>
      </w:r>
      <w:r w:rsidRPr="00A73C45">
        <w:rPr>
          <w:lang w:val="en-CA"/>
        </w:rPr>
        <w:lastRenderedPageBreak/>
        <w:t>patients will benefit from the careful observation and follow-up from enrolment, which will allow the complications of TBM to be rapidly identified and managed.</w:t>
      </w:r>
    </w:p>
    <w:p w:rsidR="00F940C8" w:rsidRPr="00A73C45" w:rsidRDefault="00F940C8" w:rsidP="00F940C8">
      <w:pPr>
        <w:pStyle w:val="PTBodyText"/>
        <w:spacing w:line="360" w:lineRule="auto"/>
        <w:rPr>
          <w:rFonts w:ascii="Arial" w:hAnsi="Arial" w:cs="Arial"/>
          <w:lang w:val="en-CA"/>
        </w:rPr>
      </w:pPr>
      <w:r w:rsidRPr="00A73C45">
        <w:rPr>
          <w:rFonts w:ascii="Arial" w:hAnsi="Arial" w:cs="Arial"/>
          <w:lang w:val="en-CA"/>
        </w:rPr>
        <w:t>The risks and benefits of participation will be communicated in two ways. First, all potential patients or their representatives will be given a</w:t>
      </w:r>
      <w:r w:rsidR="00A014AA">
        <w:rPr>
          <w:rFonts w:ascii="Arial" w:hAnsi="Arial" w:cs="Arial"/>
          <w:lang w:val="en-CA"/>
        </w:rPr>
        <w:t>n infomred consent form</w:t>
      </w:r>
      <w:r w:rsidRPr="00A73C45">
        <w:rPr>
          <w:rFonts w:ascii="Arial" w:hAnsi="Arial" w:cs="Arial"/>
          <w:lang w:val="en-CA"/>
        </w:rPr>
        <w:t xml:space="preserve"> clearly listing the risks and benefits of the trial. Second, all potential patients (or their representatives) will be able to discuss participation with their physician who will be able to address questions not covered or arising from the patient information sheet.</w:t>
      </w:r>
    </w:p>
    <w:p w:rsidR="00F940C8" w:rsidRPr="00A73C45" w:rsidRDefault="00F940C8" w:rsidP="00F940C8">
      <w:pPr>
        <w:pStyle w:val="PTBodyText"/>
        <w:spacing w:line="360" w:lineRule="auto"/>
        <w:rPr>
          <w:rFonts w:ascii="Arial" w:hAnsi="Arial" w:cs="Arial"/>
          <w:lang w:val="en-CA"/>
        </w:rPr>
      </w:pPr>
      <w:r w:rsidRPr="00A73C45">
        <w:rPr>
          <w:rFonts w:ascii="Arial" w:hAnsi="Arial" w:cs="Arial"/>
          <w:lang w:val="en-CA"/>
        </w:rPr>
        <w:t xml:space="preserve">The trial protocol will seek ethical approval to include incapacitated/comatose adults in the trial as we consider many of these adults will have the most severe infection and therefore represents the group that might stand most to gain from aspirin. We anticipate around 50% of patients be critically ill with reduced consciousnnes and unable to consent for themselves. Once incapacity has been confirmed by one of the ward physicians, written informed consent will be sought from the patient’s relative/representative. If the subject regains capacity during treatment they will be informed of the consent given by their representative and their wishes respected concerning on-going participation. If they are happy to remain in the trial, the patient should </w:t>
      </w:r>
      <w:r w:rsidR="00A014AA">
        <w:rPr>
          <w:rFonts w:ascii="Arial" w:hAnsi="Arial" w:cs="Arial"/>
          <w:lang w:val="en-CA"/>
        </w:rPr>
        <w:t>sign and date two copies of</w:t>
      </w:r>
      <w:r w:rsidR="00A014AA" w:rsidRPr="00A73C45">
        <w:rPr>
          <w:rFonts w:ascii="Arial" w:hAnsi="Arial" w:cs="Arial"/>
          <w:lang w:val="en-CA"/>
        </w:rPr>
        <w:t xml:space="preserve"> </w:t>
      </w:r>
      <w:r w:rsidR="00A014AA">
        <w:rPr>
          <w:rFonts w:ascii="Arial" w:hAnsi="Arial" w:cs="Arial"/>
          <w:lang w:val="en-CA"/>
        </w:rPr>
        <w:t>an informed</w:t>
      </w:r>
      <w:r w:rsidRPr="00A73C45">
        <w:rPr>
          <w:rFonts w:ascii="Arial" w:hAnsi="Arial" w:cs="Arial"/>
          <w:lang w:val="en-CA"/>
        </w:rPr>
        <w:t xml:space="preserve"> consent form at this time. </w:t>
      </w:r>
      <w:r w:rsidRPr="00A73C45">
        <w:rPr>
          <w:rStyle w:val="PTHyperlink"/>
          <w:rFonts w:ascii="Arial" w:hAnsi="Arial" w:cs="Arial"/>
          <w:color w:val="auto"/>
          <w:u w:val="none"/>
          <w:lang w:val="en-CA"/>
        </w:rPr>
        <w:t>If they wish to withdraw from the trial, no further trial-related procedures will be performed, but data to this point would be used in analysis. Data from any patient who dies before regaining capacity (but whose representative has provided consent) will be included in analysis.</w:t>
      </w:r>
    </w:p>
    <w:p w:rsidR="00F940C8" w:rsidRPr="00A73C45" w:rsidRDefault="00F940C8" w:rsidP="00F940C8">
      <w:pPr>
        <w:pStyle w:val="PTBodyText"/>
        <w:spacing w:line="360" w:lineRule="auto"/>
        <w:rPr>
          <w:rStyle w:val="PTBodyTextNormal"/>
          <w:rFonts w:ascii="Arial" w:hAnsi="Arial" w:cs="Arial"/>
          <w:lang w:val="en-CA"/>
        </w:rPr>
      </w:pPr>
      <w:r w:rsidRPr="00A73C45">
        <w:rPr>
          <w:rStyle w:val="PTBodyTextNormal"/>
          <w:rFonts w:ascii="Arial" w:hAnsi="Arial" w:cs="Arial"/>
          <w:lang w:val="en-CA"/>
        </w:rPr>
        <w:t>Patients’ confidentiality will be maintained throughout the trial. Data submitted to OUCRU C</w:t>
      </w:r>
      <w:r w:rsidR="00A014AA">
        <w:rPr>
          <w:rStyle w:val="PTBodyTextNormal"/>
          <w:rFonts w:ascii="Arial" w:hAnsi="Arial" w:cs="Arial"/>
          <w:lang w:val="en-CA"/>
        </w:rPr>
        <w:t xml:space="preserve">linical </w:t>
      </w:r>
      <w:r w:rsidRPr="00A73C45">
        <w:rPr>
          <w:rStyle w:val="PTBodyTextNormal"/>
          <w:rFonts w:ascii="Arial" w:hAnsi="Arial" w:cs="Arial"/>
          <w:lang w:val="en-CA"/>
        </w:rPr>
        <w:t>T</w:t>
      </w:r>
      <w:r w:rsidR="00A014AA">
        <w:rPr>
          <w:rStyle w:val="PTBodyTextNormal"/>
          <w:rFonts w:ascii="Arial" w:hAnsi="Arial" w:cs="Arial"/>
          <w:lang w:val="en-CA"/>
        </w:rPr>
        <w:t xml:space="preserve">rials </w:t>
      </w:r>
      <w:r w:rsidRPr="00A73C45">
        <w:rPr>
          <w:rStyle w:val="PTBodyTextNormal"/>
          <w:rFonts w:ascii="Arial" w:hAnsi="Arial" w:cs="Arial"/>
          <w:lang w:val="en-CA"/>
        </w:rPr>
        <w:t>U</w:t>
      </w:r>
      <w:r w:rsidR="00A014AA">
        <w:rPr>
          <w:rStyle w:val="PTBodyTextNormal"/>
          <w:rFonts w:ascii="Arial" w:hAnsi="Arial" w:cs="Arial"/>
          <w:lang w:val="en-CA"/>
        </w:rPr>
        <w:t>nit</w:t>
      </w:r>
      <w:r w:rsidRPr="00A73C45">
        <w:rPr>
          <w:rStyle w:val="PTBodyTextNormal"/>
          <w:rFonts w:ascii="Arial" w:hAnsi="Arial" w:cs="Arial"/>
          <w:lang w:val="en-CA"/>
        </w:rPr>
        <w:t xml:space="preserve"> and samples sent to central testing facilities will be identified only by the trial number and patient initials.</w:t>
      </w:r>
    </w:p>
    <w:bookmarkEnd w:id="117"/>
    <w:bookmarkEnd w:id="118"/>
    <w:bookmarkEnd w:id="119"/>
    <w:bookmarkEnd w:id="120"/>
    <w:bookmarkEnd w:id="121"/>
    <w:bookmarkEnd w:id="122"/>
    <w:bookmarkEnd w:id="123"/>
    <w:bookmarkEnd w:id="124"/>
    <w:bookmarkEnd w:id="125"/>
    <w:p w:rsidR="00E45DF4" w:rsidRDefault="00E45DF4" w:rsidP="00697D47">
      <w:pPr>
        <w:pStyle w:val="NormalIndent"/>
        <w:ind w:left="0"/>
        <w:rPr>
          <w:lang w:val="en-CA"/>
        </w:rPr>
      </w:pPr>
    </w:p>
    <w:p w:rsidR="00E45DF4" w:rsidRPr="00A73C45" w:rsidRDefault="00E45DF4" w:rsidP="00760A3B">
      <w:pPr>
        <w:pStyle w:val="Heading3"/>
        <w:rPr>
          <w:lang w:val="en-CA"/>
        </w:rPr>
      </w:pPr>
      <w:bookmarkStart w:id="127" w:name="_Toc387306521"/>
      <w:r w:rsidRPr="00A73C45">
        <w:rPr>
          <w:lang w:val="en-CA"/>
        </w:rPr>
        <w:t>Expenses and Benefits</w:t>
      </w:r>
      <w:bookmarkEnd w:id="127"/>
    </w:p>
    <w:p w:rsidR="00E45DF4" w:rsidRPr="00A73C45" w:rsidRDefault="00E45DF4" w:rsidP="00E45DF4">
      <w:pPr>
        <w:pStyle w:val="NormalIndent"/>
        <w:ind w:left="0"/>
        <w:rPr>
          <w:lang w:val="en-CA"/>
        </w:rPr>
      </w:pPr>
      <w:r w:rsidRPr="00A73C45">
        <w:rPr>
          <w:lang w:val="en-CA"/>
        </w:rPr>
        <w:t xml:space="preserve">The study funding will cover the following costs: </w:t>
      </w:r>
    </w:p>
    <w:p w:rsidR="00E45DF4" w:rsidRPr="00A73C45" w:rsidRDefault="00E45DF4" w:rsidP="00E45DF4">
      <w:pPr>
        <w:pStyle w:val="NormalIndent"/>
        <w:numPr>
          <w:ilvl w:val="0"/>
          <w:numId w:val="6"/>
        </w:numPr>
        <w:rPr>
          <w:lang w:val="en-CA"/>
        </w:rPr>
      </w:pPr>
      <w:r w:rsidRPr="00A73C45">
        <w:rPr>
          <w:lang w:val="en-CA"/>
        </w:rPr>
        <w:t>Study specific screening tests and procedures</w:t>
      </w:r>
    </w:p>
    <w:p w:rsidR="00E45DF4" w:rsidRDefault="00E45DF4" w:rsidP="00E45DF4">
      <w:pPr>
        <w:pStyle w:val="NormalIndent"/>
        <w:numPr>
          <w:ilvl w:val="0"/>
          <w:numId w:val="6"/>
        </w:numPr>
        <w:rPr>
          <w:lang w:val="en-CA"/>
        </w:rPr>
      </w:pPr>
      <w:r w:rsidRPr="00A73C45">
        <w:rPr>
          <w:lang w:val="en-CA"/>
        </w:rPr>
        <w:t xml:space="preserve">Diagnostic, treatment and hospital costs from enrolment to </w:t>
      </w:r>
      <w:r w:rsidR="00C670B7">
        <w:rPr>
          <w:lang w:val="en-CA"/>
        </w:rPr>
        <w:t xml:space="preserve">60 days or </w:t>
      </w:r>
      <w:r w:rsidR="001770AF">
        <w:rPr>
          <w:lang w:val="en-CA"/>
        </w:rPr>
        <w:t xml:space="preserve">first </w:t>
      </w:r>
      <w:r w:rsidR="00C670B7">
        <w:rPr>
          <w:lang w:val="en-CA"/>
        </w:rPr>
        <w:t>discharge</w:t>
      </w:r>
      <w:r w:rsidR="001770AF">
        <w:rPr>
          <w:lang w:val="en-CA"/>
        </w:rPr>
        <w:t xml:space="preserve"> from hospital following enrolment</w:t>
      </w:r>
      <w:r w:rsidR="00C670B7">
        <w:rPr>
          <w:lang w:val="en-CA"/>
        </w:rPr>
        <w:t>, which ever is longer</w:t>
      </w:r>
      <w:r w:rsidR="00EA70F8">
        <w:rPr>
          <w:lang w:val="en-CA"/>
        </w:rPr>
        <w:t xml:space="preserve"> </w:t>
      </w:r>
      <w:r w:rsidRPr="00A73C45">
        <w:rPr>
          <w:lang w:val="en-CA"/>
        </w:rPr>
        <w:t xml:space="preserve">for all actively enrolled patients.  </w:t>
      </w:r>
    </w:p>
    <w:p w:rsidR="001C211A" w:rsidRPr="00A73C45" w:rsidRDefault="00387881" w:rsidP="00E45DF4">
      <w:pPr>
        <w:pStyle w:val="NormalIndent"/>
        <w:numPr>
          <w:ilvl w:val="0"/>
          <w:numId w:val="6"/>
        </w:numPr>
        <w:rPr>
          <w:lang w:val="en-CA"/>
        </w:rPr>
      </w:pPr>
      <w:r>
        <w:rPr>
          <w:lang w:val="en-CA"/>
        </w:rPr>
        <w:t>H</w:t>
      </w:r>
      <w:r w:rsidR="001819C4">
        <w:rPr>
          <w:lang w:val="en-CA"/>
        </w:rPr>
        <w:t xml:space="preserve">ospital cost for </w:t>
      </w:r>
      <w:r>
        <w:rPr>
          <w:lang w:val="en-CA"/>
        </w:rPr>
        <w:t xml:space="preserve">patients </w:t>
      </w:r>
      <w:r w:rsidR="001819C4">
        <w:rPr>
          <w:lang w:val="en-CA"/>
        </w:rPr>
        <w:t>r</w:t>
      </w:r>
      <w:r w:rsidR="00802E1A">
        <w:rPr>
          <w:lang w:val="en-CA"/>
        </w:rPr>
        <w:t>eadmi</w:t>
      </w:r>
      <w:r>
        <w:rPr>
          <w:lang w:val="en-CA"/>
        </w:rPr>
        <w:t>tted after first discharge for adverse events associated with TBM or study treatment</w:t>
      </w:r>
      <w:r w:rsidR="00802E1A">
        <w:rPr>
          <w:lang w:val="en-CA"/>
        </w:rPr>
        <w:t xml:space="preserve"> during </w:t>
      </w:r>
      <w:r>
        <w:rPr>
          <w:lang w:val="en-CA"/>
        </w:rPr>
        <w:t xml:space="preserve">the </w:t>
      </w:r>
      <w:r w:rsidR="00802E1A">
        <w:rPr>
          <w:lang w:val="en-CA"/>
        </w:rPr>
        <w:t>8 month</w:t>
      </w:r>
      <w:r>
        <w:rPr>
          <w:lang w:val="en-CA"/>
        </w:rPr>
        <w:t xml:space="preserve"> TB</w:t>
      </w:r>
      <w:r w:rsidR="00802E1A">
        <w:rPr>
          <w:lang w:val="en-CA"/>
        </w:rPr>
        <w:t xml:space="preserve"> treatment course. </w:t>
      </w:r>
    </w:p>
    <w:p w:rsidR="00E45DF4" w:rsidRPr="001C211A" w:rsidRDefault="00E45DF4" w:rsidP="00E45DF4">
      <w:pPr>
        <w:pStyle w:val="NormalIndent"/>
        <w:numPr>
          <w:ilvl w:val="0"/>
          <w:numId w:val="6"/>
        </w:numPr>
        <w:rPr>
          <w:lang w:val="en-CA"/>
        </w:rPr>
      </w:pPr>
      <w:r w:rsidRPr="001C211A">
        <w:rPr>
          <w:lang w:val="en-CA"/>
        </w:rPr>
        <w:t>Study-related follow-up visits</w:t>
      </w:r>
      <w:r w:rsidR="00EA70F8" w:rsidRPr="001C211A">
        <w:rPr>
          <w:lang w:val="en-CA"/>
        </w:rPr>
        <w:t xml:space="preserve"> </w:t>
      </w:r>
      <w:r w:rsidR="00387881">
        <w:rPr>
          <w:lang w:val="en-CA"/>
        </w:rPr>
        <w:t>during the</w:t>
      </w:r>
      <w:r w:rsidR="00EA70F8" w:rsidRPr="001C211A">
        <w:rPr>
          <w:lang w:val="en-CA"/>
        </w:rPr>
        <w:t xml:space="preserve"> </w:t>
      </w:r>
      <w:r w:rsidR="001819C4">
        <w:rPr>
          <w:lang w:val="en-CA"/>
        </w:rPr>
        <w:t>8</w:t>
      </w:r>
      <w:r w:rsidR="00EA70F8" w:rsidRPr="001C211A">
        <w:rPr>
          <w:lang w:val="en-CA"/>
        </w:rPr>
        <w:t xml:space="preserve"> month </w:t>
      </w:r>
      <w:r w:rsidR="00387881">
        <w:rPr>
          <w:lang w:val="en-CA"/>
        </w:rPr>
        <w:t xml:space="preserve">TB </w:t>
      </w:r>
      <w:r w:rsidR="00EA70F8" w:rsidRPr="001C211A">
        <w:rPr>
          <w:lang w:val="en-CA"/>
        </w:rPr>
        <w:t>treatment course</w:t>
      </w:r>
    </w:p>
    <w:p w:rsidR="00E45DF4" w:rsidRPr="001C211A" w:rsidRDefault="00E45DF4" w:rsidP="00E45DF4">
      <w:pPr>
        <w:pStyle w:val="NormalIndent"/>
        <w:numPr>
          <w:ilvl w:val="0"/>
          <w:numId w:val="6"/>
        </w:numPr>
        <w:rPr>
          <w:lang w:val="en-CA"/>
        </w:rPr>
      </w:pPr>
      <w:r w:rsidRPr="001C211A">
        <w:rPr>
          <w:lang w:val="en-CA"/>
        </w:rPr>
        <w:t>Treatment of any adverse events which are caused by study participation</w:t>
      </w:r>
    </w:p>
    <w:p w:rsidR="00E45DF4" w:rsidRPr="00A73C45" w:rsidRDefault="00E45DF4" w:rsidP="00E45DF4">
      <w:pPr>
        <w:pStyle w:val="NormalIndent"/>
        <w:numPr>
          <w:ilvl w:val="0"/>
          <w:numId w:val="6"/>
        </w:numPr>
        <w:rPr>
          <w:lang w:val="en-CA"/>
        </w:rPr>
      </w:pPr>
      <w:r w:rsidRPr="001C211A">
        <w:rPr>
          <w:lang w:val="en-CA"/>
        </w:rPr>
        <w:t xml:space="preserve">Travel expenses to attend follow-up visits </w:t>
      </w:r>
      <w:r w:rsidR="00EA70F8" w:rsidRPr="001C211A">
        <w:rPr>
          <w:lang w:val="en-CA"/>
        </w:rPr>
        <w:t xml:space="preserve">for 8 </w:t>
      </w:r>
      <w:r w:rsidR="00EA70F8">
        <w:rPr>
          <w:lang w:val="en-CA"/>
        </w:rPr>
        <w:t xml:space="preserve">months of treatment course </w:t>
      </w:r>
      <w:r w:rsidRPr="00A73C45">
        <w:rPr>
          <w:lang w:val="en-CA"/>
        </w:rPr>
        <w:t>(based on actual cost at standard OUCRU rates).</w:t>
      </w:r>
    </w:p>
    <w:p w:rsidR="00E45DF4" w:rsidRDefault="00E45DF4" w:rsidP="00E45DF4">
      <w:pPr>
        <w:pStyle w:val="NormalIndent"/>
        <w:ind w:left="0"/>
        <w:rPr>
          <w:lang w:val="en-CA"/>
        </w:rPr>
      </w:pPr>
      <w:r w:rsidRPr="00A73C45">
        <w:rPr>
          <w:lang w:val="en-CA"/>
        </w:rPr>
        <w:lastRenderedPageBreak/>
        <w:t>The study will not cover the cost of treating pre-existing diseases or those unrelated to study participation or the diagnosis and/or treatment of TBM.</w:t>
      </w:r>
    </w:p>
    <w:p w:rsidR="00B732A3" w:rsidRPr="00A73C45" w:rsidRDefault="00B732A3" w:rsidP="00E45DF4">
      <w:pPr>
        <w:pStyle w:val="NormalIndent"/>
        <w:ind w:left="0"/>
        <w:rPr>
          <w:lang w:val="en-CA"/>
        </w:rPr>
      </w:pPr>
    </w:p>
    <w:p w:rsidR="00B732A3" w:rsidRPr="00A73C45" w:rsidRDefault="00B732A3" w:rsidP="00760A3B">
      <w:pPr>
        <w:pStyle w:val="Heading3"/>
        <w:rPr>
          <w:lang w:val="en-CA"/>
        </w:rPr>
      </w:pPr>
      <w:bookmarkStart w:id="128" w:name="_Toc387306522"/>
      <w:r w:rsidRPr="00A73C45">
        <w:rPr>
          <w:lang w:val="en-CA"/>
        </w:rPr>
        <w:t>Participant Confidentiality</w:t>
      </w:r>
      <w:bookmarkEnd w:id="128"/>
    </w:p>
    <w:p w:rsidR="00B732A3" w:rsidRDefault="00B732A3" w:rsidP="00760A3B">
      <w:pPr>
        <w:rPr>
          <w:lang w:val="en-CA"/>
        </w:rPr>
      </w:pPr>
      <w:r w:rsidRPr="00A73C45">
        <w:rPr>
          <w:lang w:val="en-CA"/>
        </w:rPr>
        <w:t xml:space="preserve">The trial staff will ensure that the participants’ anonymity is maintained.  </w:t>
      </w:r>
      <w:r w:rsidR="008A3DCC">
        <w:rPr>
          <w:lang w:val="en-CA"/>
        </w:rPr>
        <w:t>P</w:t>
      </w:r>
      <w:r w:rsidRPr="00A73C45">
        <w:rPr>
          <w:lang w:val="en-CA"/>
        </w:rPr>
        <w:t>articipants will be identified only by initials and a participants ID number on the CRF</w:t>
      </w:r>
      <w:r w:rsidR="00760A3B">
        <w:rPr>
          <w:lang w:val="en-CA"/>
        </w:rPr>
        <w:t>, samples</w:t>
      </w:r>
      <w:r w:rsidRPr="00A73C45">
        <w:rPr>
          <w:lang w:val="en-CA"/>
        </w:rPr>
        <w:t xml:space="preserve"> and any electronic database. All documents will be stored securely and only accessible by trial staff and authorised personnel. </w:t>
      </w:r>
    </w:p>
    <w:p w:rsidR="00760A3B" w:rsidRDefault="00760A3B" w:rsidP="00760A3B">
      <w:pPr>
        <w:rPr>
          <w:lang w:val="en-CA"/>
        </w:rPr>
      </w:pPr>
    </w:p>
    <w:p w:rsidR="00760A3B" w:rsidRPr="00760A3B" w:rsidRDefault="00760A3B" w:rsidP="00760A3B">
      <w:pPr>
        <w:pStyle w:val="Heading2"/>
        <w:rPr>
          <w:lang w:val="en-CA"/>
        </w:rPr>
      </w:pPr>
      <w:bookmarkStart w:id="129" w:name="_Toc387306523"/>
      <w:r>
        <w:rPr>
          <w:lang w:val="en-CA"/>
        </w:rPr>
        <w:t>Sample Use and Storage</w:t>
      </w:r>
      <w:bookmarkEnd w:id="129"/>
    </w:p>
    <w:p w:rsidR="00760A3B" w:rsidRPr="00077D32" w:rsidRDefault="00760A3B" w:rsidP="00760A3B">
      <w:pPr>
        <w:rPr>
          <w:color w:val="000000"/>
        </w:rPr>
      </w:pPr>
      <w:r w:rsidRPr="00077D32">
        <w:t>Samples collected will be used for the purpose of this study as stated in the proto</w:t>
      </w:r>
      <w:r>
        <w:t xml:space="preserve">col and stored for future use in studies not yet </w:t>
      </w:r>
      <w:r w:rsidRPr="00990FB1">
        <w:t>conceived</w:t>
      </w:r>
      <w:r w:rsidR="00990FB1" w:rsidRPr="00990FB1">
        <w:t xml:space="preserve"> within Viet Nam or abroad</w:t>
      </w:r>
      <w:r w:rsidRPr="00990FB1">
        <w:t>.  Consent</w:t>
      </w:r>
      <w:r w:rsidRPr="00077D32">
        <w:t xml:space="preserve"> will be obtained from subjects for </w:t>
      </w:r>
      <w:r>
        <w:t xml:space="preserve">genetic testing and for </w:t>
      </w:r>
      <w:r w:rsidRPr="00077D32">
        <w:t xml:space="preserve">sample storage and/or shipment of specific samples to collaborating institutions for investigations that cannot be performed locally. </w:t>
      </w:r>
      <w:r w:rsidRPr="00077D32">
        <w:rPr>
          <w:color w:val="000000"/>
        </w:rPr>
        <w:t xml:space="preserve">Any proposed plans to use samples other than for those investigations detailed in this protocol will be submitted to the relevant ethics committees prior to any testing. </w:t>
      </w:r>
    </w:p>
    <w:p w:rsidR="00760A3B" w:rsidRPr="00077D32" w:rsidRDefault="00760A3B" w:rsidP="00760A3B">
      <w:r w:rsidRPr="00077D32">
        <w:t xml:space="preserve">The participants will be identified </w:t>
      </w:r>
      <w:r>
        <w:t xml:space="preserve">only </w:t>
      </w:r>
      <w:r w:rsidRPr="00077D32">
        <w:t xml:space="preserve">by a study specific participant number and/or code in any database. The name and any other identifying detail will NOT be included in any study data electronic file. </w:t>
      </w:r>
    </w:p>
    <w:p w:rsidR="00F84AE3" w:rsidRPr="00A73C45" w:rsidRDefault="00F84AE3" w:rsidP="00760A3B">
      <w:pPr>
        <w:pStyle w:val="NormalIndent"/>
        <w:ind w:left="0"/>
        <w:rPr>
          <w:lang w:val="en-CA"/>
        </w:rPr>
      </w:pPr>
    </w:p>
    <w:p w:rsidR="00F84AE3" w:rsidRPr="00A73C45" w:rsidRDefault="00F84AE3">
      <w:pPr>
        <w:pStyle w:val="Heading1"/>
        <w:rPr>
          <w:lang w:val="en-CA"/>
        </w:rPr>
      </w:pPr>
      <w:bookmarkStart w:id="130" w:name="_Toc387306524"/>
      <w:r w:rsidRPr="00A73C45">
        <w:rPr>
          <w:lang w:val="en-CA"/>
        </w:rPr>
        <w:t>FINANCE AND INSURANCE</w:t>
      </w:r>
      <w:bookmarkEnd w:id="130"/>
    </w:p>
    <w:p w:rsidR="00FE4D24" w:rsidRPr="00A73C45" w:rsidRDefault="00FE4D24" w:rsidP="00FE4D24">
      <w:pPr>
        <w:spacing w:before="120" w:after="60"/>
        <w:rPr>
          <w:rFonts w:cs="Arial"/>
          <w:lang w:val="en-CA"/>
        </w:rPr>
      </w:pPr>
      <w:r w:rsidRPr="00A73C45">
        <w:rPr>
          <w:rFonts w:cs="Arial"/>
          <w:lang w:val="en-CA"/>
        </w:rPr>
        <w:t xml:space="preserve">The conduct of this study is funded by the Wellcome Trust and sponsored by the University of Oxford. </w:t>
      </w:r>
      <w:r w:rsidR="009C6E1D" w:rsidRPr="009C6E1D">
        <w:rPr>
          <w:rFonts w:cs="Arial"/>
          <w:lang w:val="en-CA"/>
        </w:rPr>
        <w:t>The University has a specialist insurance policy in place: - Newline Underwriting Management Ltd, at Lloyd’s of London – which would operate in the event of any </w:t>
      </w:r>
      <w:r w:rsidR="00EA28BB">
        <w:rPr>
          <w:rFonts w:cs="Arial"/>
          <w:lang w:val="en-CA"/>
        </w:rPr>
        <w:t>p</w:t>
      </w:r>
      <w:r w:rsidR="009C6E1D" w:rsidRPr="009C6E1D">
        <w:rPr>
          <w:rFonts w:cs="Arial"/>
          <w:lang w:val="en-CA"/>
        </w:rPr>
        <w:t>articipant suffering harm as a result of their involvement in the research</w:t>
      </w:r>
      <w:r w:rsidR="001770AF">
        <w:rPr>
          <w:rFonts w:cs="Arial"/>
          <w:lang w:val="en-CA"/>
        </w:rPr>
        <w:t>.</w:t>
      </w:r>
    </w:p>
    <w:p w:rsidR="009344A6" w:rsidRPr="00A73C45" w:rsidRDefault="009344A6" w:rsidP="009344A6">
      <w:pPr>
        <w:spacing w:before="120" w:after="60"/>
        <w:rPr>
          <w:rFonts w:cs="Arial"/>
          <w:lang w:val="en-CA"/>
        </w:rPr>
      </w:pPr>
    </w:p>
    <w:p w:rsidR="00FE4D24" w:rsidRPr="00A73C45" w:rsidRDefault="00FE4D24" w:rsidP="00FE4D24">
      <w:pPr>
        <w:spacing w:before="120" w:after="60"/>
        <w:rPr>
          <w:rFonts w:cs="Arial"/>
          <w:lang w:val="en-CA"/>
        </w:rPr>
      </w:pPr>
    </w:p>
    <w:p w:rsidR="00F84AE3" w:rsidRPr="00A73C45" w:rsidRDefault="00F84AE3">
      <w:pPr>
        <w:pStyle w:val="Heading1"/>
        <w:rPr>
          <w:lang w:val="en-CA"/>
        </w:rPr>
      </w:pPr>
      <w:bookmarkStart w:id="131" w:name="_Toc387306525"/>
      <w:r w:rsidRPr="00A73C45">
        <w:rPr>
          <w:lang w:val="en-CA"/>
        </w:rPr>
        <w:t>PUBLICATION POLICY</w:t>
      </w:r>
      <w:bookmarkEnd w:id="131"/>
    </w:p>
    <w:p w:rsidR="00697D47" w:rsidRDefault="00646777" w:rsidP="00697D47">
      <w:pPr>
        <w:rPr>
          <w:lang w:val="en-CA"/>
        </w:rPr>
      </w:pPr>
      <w:r w:rsidRPr="007149FE">
        <w:rPr>
          <w:lang w:val="en-CA"/>
        </w:rPr>
        <w:t xml:space="preserve">The primary outcome data </w:t>
      </w:r>
      <w:r w:rsidR="00697D47" w:rsidRPr="00A73C45">
        <w:rPr>
          <w:lang w:val="en-CA"/>
        </w:rPr>
        <w:t xml:space="preserve">will be analysed and reported in a publication. The authors (and their </w:t>
      </w:r>
      <w:r w:rsidR="009344A6" w:rsidRPr="00A73C45">
        <w:rPr>
          <w:lang w:val="en-CA"/>
        </w:rPr>
        <w:t xml:space="preserve">respective </w:t>
      </w:r>
      <w:r w:rsidR="00697D47" w:rsidRPr="00A73C45">
        <w:rPr>
          <w:lang w:val="en-CA"/>
        </w:rPr>
        <w:t>position</w:t>
      </w:r>
      <w:r w:rsidR="009344A6" w:rsidRPr="00A73C45">
        <w:rPr>
          <w:lang w:val="en-CA"/>
        </w:rPr>
        <w:t>s</w:t>
      </w:r>
      <w:r w:rsidR="00697D47" w:rsidRPr="00A73C45">
        <w:rPr>
          <w:lang w:val="en-CA"/>
        </w:rPr>
        <w:t xml:space="preserve"> in the </w:t>
      </w:r>
      <w:r w:rsidR="009344A6" w:rsidRPr="00A73C45">
        <w:rPr>
          <w:lang w:val="en-CA"/>
        </w:rPr>
        <w:t>author list</w:t>
      </w:r>
      <w:r w:rsidR="00697D47" w:rsidRPr="00A73C45">
        <w:rPr>
          <w:lang w:val="en-CA"/>
        </w:rPr>
        <w:t xml:space="preserve">) will be agreed prior to the start of the study </w:t>
      </w:r>
      <w:r w:rsidR="00B732A3">
        <w:rPr>
          <w:lang w:val="en-CA"/>
        </w:rPr>
        <w:t>in accordance with the guidelines of the I</w:t>
      </w:r>
      <w:r w:rsidR="00760A3B">
        <w:rPr>
          <w:lang w:val="en-CA"/>
        </w:rPr>
        <w:t xml:space="preserve">nternational </w:t>
      </w:r>
      <w:r w:rsidR="00B732A3">
        <w:rPr>
          <w:lang w:val="en-CA"/>
        </w:rPr>
        <w:t>C</w:t>
      </w:r>
      <w:r w:rsidR="00760A3B">
        <w:rPr>
          <w:lang w:val="en-CA"/>
        </w:rPr>
        <w:t xml:space="preserve">ommittee of </w:t>
      </w:r>
      <w:r w:rsidR="00B732A3">
        <w:rPr>
          <w:lang w:val="en-CA"/>
        </w:rPr>
        <w:t>M</w:t>
      </w:r>
      <w:r w:rsidR="00760A3B">
        <w:rPr>
          <w:lang w:val="en-CA"/>
        </w:rPr>
        <w:t xml:space="preserve">edical </w:t>
      </w:r>
      <w:r w:rsidR="00B732A3">
        <w:rPr>
          <w:lang w:val="en-CA"/>
        </w:rPr>
        <w:t>J</w:t>
      </w:r>
      <w:r w:rsidR="00760A3B">
        <w:rPr>
          <w:lang w:val="en-CA"/>
        </w:rPr>
        <w:t xml:space="preserve">ournal </w:t>
      </w:r>
      <w:r w:rsidR="00B732A3">
        <w:rPr>
          <w:lang w:val="en-CA"/>
        </w:rPr>
        <w:t>E</w:t>
      </w:r>
      <w:r w:rsidR="00760A3B">
        <w:rPr>
          <w:lang w:val="en-CA"/>
        </w:rPr>
        <w:t>ditors</w:t>
      </w:r>
      <w:r w:rsidR="00697D47" w:rsidRPr="00A73C45">
        <w:rPr>
          <w:lang w:val="en-CA"/>
        </w:rPr>
        <w:t xml:space="preserve">. </w:t>
      </w:r>
    </w:p>
    <w:p w:rsidR="00B732A3" w:rsidRPr="00A73C45" w:rsidRDefault="00B732A3" w:rsidP="00697D47">
      <w:pPr>
        <w:rPr>
          <w:lang w:val="en-CA"/>
        </w:rPr>
      </w:pPr>
    </w:p>
    <w:p w:rsidR="00F84AE3" w:rsidRPr="00A73C45" w:rsidRDefault="00F84AE3">
      <w:pPr>
        <w:pStyle w:val="Heading1"/>
        <w:rPr>
          <w:lang w:val="en-CA"/>
        </w:rPr>
      </w:pPr>
      <w:bookmarkStart w:id="132" w:name="_Toc387306526"/>
      <w:r w:rsidRPr="00A73C45">
        <w:rPr>
          <w:lang w:val="en-CA"/>
        </w:rPr>
        <w:t>REFERENCES</w:t>
      </w:r>
      <w:bookmarkEnd w:id="132"/>
    </w:p>
    <w:p w:rsidR="002402B5" w:rsidRPr="00A73C45" w:rsidRDefault="002402B5" w:rsidP="002402B5">
      <w:pPr>
        <w:spacing w:line="240" w:lineRule="auto"/>
        <w:rPr>
          <w:rFonts w:cs="Arial"/>
          <w:noProof/>
          <w:szCs w:val="24"/>
          <w:lang w:val="en-CA"/>
        </w:rPr>
      </w:pPr>
      <w:bookmarkStart w:id="133" w:name="_ENREF_1"/>
      <w:r w:rsidRPr="00A73C45">
        <w:rPr>
          <w:rFonts w:cs="Arial"/>
          <w:noProof/>
          <w:szCs w:val="24"/>
          <w:lang w:val="en-CA"/>
        </w:rPr>
        <w:lastRenderedPageBreak/>
        <w:t>1.</w:t>
      </w:r>
      <w:r w:rsidRPr="00A73C45">
        <w:rPr>
          <w:rFonts w:cs="Arial"/>
          <w:noProof/>
          <w:szCs w:val="24"/>
          <w:lang w:val="en-CA"/>
        </w:rPr>
        <w:tab/>
        <w:t xml:space="preserve">Thwaites GE, Tran TH. Tuberculous meningitis: many questions, too few answers. Lancet neurology. 2005; </w:t>
      </w:r>
      <w:r w:rsidRPr="00A73C45">
        <w:rPr>
          <w:rFonts w:cs="Arial"/>
          <w:b/>
          <w:noProof/>
          <w:szCs w:val="24"/>
          <w:lang w:val="en-CA"/>
        </w:rPr>
        <w:t>4</w:t>
      </w:r>
      <w:r w:rsidRPr="00A73C45">
        <w:rPr>
          <w:rFonts w:cs="Arial"/>
          <w:noProof/>
          <w:szCs w:val="24"/>
          <w:lang w:val="en-CA"/>
        </w:rPr>
        <w:t>(3): 160-70.</w:t>
      </w:r>
      <w:bookmarkEnd w:id="133"/>
    </w:p>
    <w:p w:rsidR="002402B5" w:rsidRPr="00A73C45" w:rsidRDefault="002402B5" w:rsidP="002402B5">
      <w:pPr>
        <w:spacing w:line="240" w:lineRule="auto"/>
        <w:rPr>
          <w:rFonts w:cs="Arial"/>
          <w:noProof/>
          <w:szCs w:val="24"/>
          <w:lang w:val="en-CA"/>
        </w:rPr>
      </w:pPr>
      <w:bookmarkStart w:id="134" w:name="_ENREF_2"/>
      <w:r w:rsidRPr="00A73C45">
        <w:rPr>
          <w:rFonts w:cs="Arial"/>
          <w:noProof/>
          <w:szCs w:val="24"/>
          <w:lang w:val="en-CA"/>
        </w:rPr>
        <w:t>2.</w:t>
      </w:r>
      <w:r w:rsidRPr="00A73C45">
        <w:rPr>
          <w:rFonts w:cs="Arial"/>
          <w:noProof/>
          <w:szCs w:val="24"/>
          <w:lang w:val="en-CA"/>
        </w:rPr>
        <w:tab/>
        <w:t xml:space="preserve">Thwaites GE, Chau TT, Stepniewska K, Phu NH, Chuong LV, Sinh DX, et al. Diagnosis of adult tuberculous meningitis by use of clinical and laboratory features. Lancet. 2002; </w:t>
      </w:r>
      <w:r w:rsidRPr="00A73C45">
        <w:rPr>
          <w:rFonts w:cs="Arial"/>
          <w:b/>
          <w:noProof/>
          <w:szCs w:val="24"/>
          <w:lang w:val="en-CA"/>
        </w:rPr>
        <w:t>360</w:t>
      </w:r>
      <w:r w:rsidRPr="00A73C45">
        <w:rPr>
          <w:rFonts w:cs="Arial"/>
          <w:noProof/>
          <w:szCs w:val="24"/>
          <w:lang w:val="en-CA"/>
        </w:rPr>
        <w:t>(9342): 1287-92.</w:t>
      </w:r>
      <w:bookmarkEnd w:id="134"/>
    </w:p>
    <w:p w:rsidR="002402B5" w:rsidRPr="00A73C45" w:rsidRDefault="002402B5" w:rsidP="002402B5">
      <w:pPr>
        <w:spacing w:line="240" w:lineRule="auto"/>
        <w:rPr>
          <w:rFonts w:cs="Arial"/>
          <w:noProof/>
          <w:szCs w:val="24"/>
          <w:lang w:val="en-CA"/>
        </w:rPr>
      </w:pPr>
      <w:bookmarkStart w:id="135" w:name="_ENREF_3"/>
      <w:r w:rsidRPr="00A73C45">
        <w:rPr>
          <w:rFonts w:cs="Arial"/>
          <w:noProof/>
          <w:szCs w:val="24"/>
          <w:lang w:val="en-CA"/>
        </w:rPr>
        <w:t>3.</w:t>
      </w:r>
      <w:r w:rsidRPr="00A73C45">
        <w:rPr>
          <w:rFonts w:cs="Arial"/>
          <w:noProof/>
          <w:szCs w:val="24"/>
          <w:lang w:val="en-CA"/>
        </w:rPr>
        <w:tab/>
        <w:t xml:space="preserve">Thwaites GE, Chau TT, Farrar JJ. Improving the bacteriological diagnosis of tuberculous meningitis. Journal of clinical microbiology. 2004; </w:t>
      </w:r>
      <w:r w:rsidRPr="00A73C45">
        <w:rPr>
          <w:rFonts w:cs="Arial"/>
          <w:b/>
          <w:noProof/>
          <w:szCs w:val="24"/>
          <w:lang w:val="en-CA"/>
        </w:rPr>
        <w:t>42</w:t>
      </w:r>
      <w:r w:rsidRPr="00A73C45">
        <w:rPr>
          <w:rFonts w:cs="Arial"/>
          <w:noProof/>
          <w:szCs w:val="24"/>
          <w:lang w:val="en-CA"/>
        </w:rPr>
        <w:t>(1): 378-9.</w:t>
      </w:r>
      <w:bookmarkEnd w:id="135"/>
    </w:p>
    <w:p w:rsidR="002402B5" w:rsidRPr="00A73C45" w:rsidRDefault="002402B5" w:rsidP="002402B5">
      <w:pPr>
        <w:spacing w:line="240" w:lineRule="auto"/>
        <w:rPr>
          <w:rFonts w:cs="Arial"/>
          <w:noProof/>
          <w:szCs w:val="24"/>
          <w:lang w:val="en-CA"/>
        </w:rPr>
      </w:pPr>
      <w:bookmarkStart w:id="136" w:name="_ENREF_4"/>
      <w:r w:rsidRPr="00A73C45">
        <w:rPr>
          <w:rFonts w:cs="Arial"/>
          <w:noProof/>
          <w:szCs w:val="24"/>
          <w:lang w:val="en-CA"/>
        </w:rPr>
        <w:t>4.</w:t>
      </w:r>
      <w:r w:rsidRPr="00A73C45">
        <w:rPr>
          <w:rFonts w:cs="Arial"/>
          <w:noProof/>
          <w:szCs w:val="24"/>
          <w:lang w:val="en-CA"/>
        </w:rPr>
        <w:tab/>
        <w:t xml:space="preserve">Thwaites GE, Caws M, Chau TT, Dung NT, Campbell JI, Phu NH, et al. Comparison of conventional bacteriology with nucleic acid amplification (amplified mycobacterium direct test) for diagnosis of tuberculous meningitis before and after inception of antituberculosis chemotherapy. Journal of clinical microbiology. 2004; </w:t>
      </w:r>
      <w:r w:rsidRPr="00A73C45">
        <w:rPr>
          <w:rFonts w:cs="Arial"/>
          <w:b/>
          <w:noProof/>
          <w:szCs w:val="24"/>
          <w:lang w:val="en-CA"/>
        </w:rPr>
        <w:t>42</w:t>
      </w:r>
      <w:r w:rsidRPr="00A73C45">
        <w:rPr>
          <w:rFonts w:cs="Arial"/>
          <w:noProof/>
          <w:szCs w:val="24"/>
          <w:lang w:val="en-CA"/>
        </w:rPr>
        <w:t>(3): 996-1002.</w:t>
      </w:r>
      <w:bookmarkEnd w:id="136"/>
    </w:p>
    <w:p w:rsidR="002402B5" w:rsidRPr="00A73C45" w:rsidRDefault="002402B5" w:rsidP="002402B5">
      <w:pPr>
        <w:spacing w:line="240" w:lineRule="auto"/>
        <w:rPr>
          <w:rFonts w:cs="Arial"/>
          <w:noProof/>
          <w:szCs w:val="24"/>
          <w:lang w:val="en-CA"/>
        </w:rPr>
      </w:pPr>
      <w:bookmarkStart w:id="137" w:name="_ENREF_5"/>
      <w:r w:rsidRPr="00A73C45">
        <w:rPr>
          <w:rFonts w:cs="Arial"/>
          <w:noProof/>
          <w:szCs w:val="24"/>
          <w:lang w:val="en-CA"/>
        </w:rPr>
        <w:t>5.</w:t>
      </w:r>
      <w:r w:rsidRPr="00A73C45">
        <w:rPr>
          <w:rFonts w:cs="Arial"/>
          <w:noProof/>
          <w:szCs w:val="24"/>
          <w:lang w:val="en-CA"/>
        </w:rPr>
        <w:tab/>
        <w:t xml:space="preserve">Thwaites GE, Nguyen DB, Nguyen HD, Hoang TQ, Do TT, Nguyen TC, et al. Dexamethasone for the treatment of tuberculous meningitis in adolescents and adults. The New England journal of medicine. 2004; </w:t>
      </w:r>
      <w:r w:rsidRPr="00A73C45">
        <w:rPr>
          <w:rFonts w:cs="Arial"/>
          <w:b/>
          <w:noProof/>
          <w:szCs w:val="24"/>
          <w:lang w:val="en-CA"/>
        </w:rPr>
        <w:t>351</w:t>
      </w:r>
      <w:r w:rsidRPr="00A73C45">
        <w:rPr>
          <w:rFonts w:cs="Arial"/>
          <w:noProof/>
          <w:szCs w:val="24"/>
          <w:lang w:val="en-CA"/>
        </w:rPr>
        <w:t>(17): 1741-51.</w:t>
      </w:r>
      <w:bookmarkEnd w:id="137"/>
    </w:p>
    <w:p w:rsidR="002402B5" w:rsidRPr="00A73C45" w:rsidRDefault="002402B5" w:rsidP="002402B5">
      <w:pPr>
        <w:spacing w:line="240" w:lineRule="auto"/>
        <w:rPr>
          <w:rFonts w:cs="Arial"/>
          <w:noProof/>
          <w:szCs w:val="24"/>
          <w:lang w:val="en-CA"/>
        </w:rPr>
      </w:pPr>
      <w:bookmarkStart w:id="138" w:name="_ENREF_6"/>
      <w:r w:rsidRPr="00A73C45">
        <w:rPr>
          <w:rFonts w:cs="Arial"/>
          <w:noProof/>
          <w:szCs w:val="24"/>
          <w:lang w:val="en-CA"/>
        </w:rPr>
        <w:t>6.</w:t>
      </w:r>
      <w:r w:rsidRPr="00A73C45">
        <w:rPr>
          <w:rFonts w:cs="Arial"/>
          <w:noProof/>
          <w:szCs w:val="24"/>
          <w:lang w:val="en-CA"/>
        </w:rPr>
        <w:tab/>
        <w:t xml:space="preserve">Heemskerk D, Day J, Chau TT, Dung NH, Yen NT, Bang ND, et al. Intensified treatment with high dose rifampicin and levofloxacin compared to standard treatment for adult patients with tuberculous meningitis (TBM-IT): protocol for a randomized controlled trial. Trials. 2011; </w:t>
      </w:r>
      <w:r w:rsidRPr="00A73C45">
        <w:rPr>
          <w:rFonts w:cs="Arial"/>
          <w:b/>
          <w:noProof/>
          <w:szCs w:val="24"/>
          <w:lang w:val="en-CA"/>
        </w:rPr>
        <w:t>12</w:t>
      </w:r>
      <w:r w:rsidRPr="00A73C45">
        <w:rPr>
          <w:rFonts w:cs="Arial"/>
          <w:noProof/>
          <w:szCs w:val="24"/>
          <w:lang w:val="en-CA"/>
        </w:rPr>
        <w:t>: 25.</w:t>
      </w:r>
      <w:bookmarkEnd w:id="138"/>
    </w:p>
    <w:p w:rsidR="002402B5" w:rsidRPr="00A73C45" w:rsidRDefault="002402B5" w:rsidP="002402B5">
      <w:pPr>
        <w:spacing w:line="240" w:lineRule="auto"/>
        <w:rPr>
          <w:rFonts w:cs="Arial"/>
          <w:noProof/>
          <w:szCs w:val="24"/>
          <w:lang w:val="en-CA"/>
        </w:rPr>
      </w:pPr>
      <w:bookmarkStart w:id="139" w:name="_ENREF_7"/>
      <w:r w:rsidRPr="00A73C45">
        <w:rPr>
          <w:rFonts w:cs="Arial"/>
          <w:noProof/>
          <w:szCs w:val="24"/>
          <w:lang w:val="en-CA"/>
        </w:rPr>
        <w:t>7.</w:t>
      </w:r>
      <w:r w:rsidRPr="00A73C45">
        <w:rPr>
          <w:rFonts w:cs="Arial"/>
          <w:noProof/>
          <w:szCs w:val="24"/>
          <w:lang w:val="en-CA"/>
        </w:rPr>
        <w:tab/>
        <w:t xml:space="preserve">Torok ME, Nguyen DB, Tran TH, Nguyen TB, Thwaites GE, Hoang TQ, et al. Dexamethasone and long-term outcome of tuberculous meningitis in Vietnamese adults and adolescents. PLoS ONE. 2011; </w:t>
      </w:r>
      <w:r w:rsidRPr="00A73C45">
        <w:rPr>
          <w:rFonts w:cs="Arial"/>
          <w:b/>
          <w:noProof/>
          <w:szCs w:val="24"/>
          <w:lang w:val="en-CA"/>
        </w:rPr>
        <w:t>6</w:t>
      </w:r>
      <w:r w:rsidRPr="00A73C45">
        <w:rPr>
          <w:rFonts w:cs="Arial"/>
          <w:noProof/>
          <w:szCs w:val="24"/>
          <w:lang w:val="en-CA"/>
        </w:rPr>
        <w:t>(12): e27821.</w:t>
      </w:r>
      <w:bookmarkEnd w:id="139"/>
    </w:p>
    <w:p w:rsidR="002402B5" w:rsidRPr="00A73C45" w:rsidRDefault="002402B5" w:rsidP="002402B5">
      <w:pPr>
        <w:spacing w:line="240" w:lineRule="auto"/>
        <w:rPr>
          <w:rFonts w:cs="Arial"/>
          <w:noProof/>
          <w:szCs w:val="24"/>
          <w:lang w:val="en-CA"/>
        </w:rPr>
      </w:pPr>
      <w:bookmarkStart w:id="140" w:name="_ENREF_8"/>
      <w:r w:rsidRPr="00A73C45">
        <w:rPr>
          <w:rFonts w:cs="Arial"/>
          <w:noProof/>
          <w:szCs w:val="24"/>
          <w:lang w:val="en-CA"/>
        </w:rPr>
        <w:t>8.</w:t>
      </w:r>
      <w:r w:rsidRPr="00A73C45">
        <w:rPr>
          <w:rFonts w:cs="Arial"/>
          <w:noProof/>
          <w:szCs w:val="24"/>
          <w:lang w:val="en-CA"/>
        </w:rPr>
        <w:tab/>
        <w:t xml:space="preserve">Lammie GA, Hewlett RH, Schoeman JF, Donald PR. Tuberculous cerebrovascular disease: a review. The Journal of infection. 2009; </w:t>
      </w:r>
      <w:r w:rsidRPr="00A73C45">
        <w:rPr>
          <w:rFonts w:cs="Arial"/>
          <w:b/>
          <w:noProof/>
          <w:szCs w:val="24"/>
          <w:lang w:val="en-CA"/>
        </w:rPr>
        <w:t>59</w:t>
      </w:r>
      <w:r w:rsidRPr="00A73C45">
        <w:rPr>
          <w:rFonts w:cs="Arial"/>
          <w:noProof/>
          <w:szCs w:val="24"/>
          <w:lang w:val="en-CA"/>
        </w:rPr>
        <w:t>(3): 156-66.</w:t>
      </w:r>
      <w:bookmarkEnd w:id="140"/>
    </w:p>
    <w:p w:rsidR="002402B5" w:rsidRPr="00A73C45" w:rsidRDefault="002402B5" w:rsidP="002402B5">
      <w:pPr>
        <w:spacing w:line="240" w:lineRule="auto"/>
        <w:rPr>
          <w:rFonts w:cs="Arial"/>
          <w:noProof/>
          <w:szCs w:val="24"/>
          <w:lang w:val="en-CA"/>
        </w:rPr>
      </w:pPr>
      <w:bookmarkStart w:id="141" w:name="_ENREF_9"/>
      <w:r w:rsidRPr="00A73C45">
        <w:rPr>
          <w:rFonts w:cs="Arial"/>
          <w:noProof/>
          <w:szCs w:val="24"/>
          <w:lang w:val="en-CA"/>
        </w:rPr>
        <w:t>9.</w:t>
      </w:r>
      <w:r w:rsidRPr="00A73C45">
        <w:rPr>
          <w:rFonts w:cs="Arial"/>
          <w:noProof/>
          <w:szCs w:val="24"/>
          <w:lang w:val="en-CA"/>
        </w:rPr>
        <w:tab/>
        <w:t xml:space="preserve">Hektoen L. The vascular changes in tuberculous meningitis especially tuberculous endarteritis. J Exp Med. 1896; </w:t>
      </w:r>
      <w:r w:rsidRPr="00A73C45">
        <w:rPr>
          <w:rFonts w:cs="Arial"/>
          <w:b/>
          <w:noProof/>
          <w:szCs w:val="24"/>
          <w:lang w:val="en-CA"/>
        </w:rPr>
        <w:t>1</w:t>
      </w:r>
      <w:r w:rsidRPr="00A73C45">
        <w:rPr>
          <w:rFonts w:cs="Arial"/>
          <w:noProof/>
          <w:szCs w:val="24"/>
          <w:lang w:val="en-CA"/>
        </w:rPr>
        <w:t>: 112-63.</w:t>
      </w:r>
      <w:bookmarkEnd w:id="141"/>
    </w:p>
    <w:p w:rsidR="002402B5" w:rsidRPr="00A73C45" w:rsidRDefault="002402B5" w:rsidP="002402B5">
      <w:pPr>
        <w:spacing w:line="240" w:lineRule="auto"/>
        <w:rPr>
          <w:rFonts w:cs="Arial"/>
          <w:noProof/>
          <w:szCs w:val="24"/>
          <w:lang w:val="en-CA"/>
        </w:rPr>
      </w:pPr>
      <w:bookmarkStart w:id="142" w:name="_ENREF_10"/>
      <w:r w:rsidRPr="00A73C45">
        <w:rPr>
          <w:rFonts w:cs="Arial"/>
          <w:noProof/>
          <w:szCs w:val="24"/>
          <w:lang w:val="en-CA"/>
        </w:rPr>
        <w:t>10.</w:t>
      </w:r>
      <w:r w:rsidRPr="00A73C45">
        <w:rPr>
          <w:rFonts w:cs="Arial"/>
          <w:noProof/>
          <w:szCs w:val="24"/>
          <w:lang w:val="en-CA"/>
        </w:rPr>
        <w:tab/>
        <w:t xml:space="preserve">Rich AR, McCordock HA. The pathogenesis of tuberculous meningitis. Bull John Hopkins Hosp. 1933; </w:t>
      </w:r>
      <w:r w:rsidRPr="00A73C45">
        <w:rPr>
          <w:rFonts w:cs="Arial"/>
          <w:b/>
          <w:noProof/>
          <w:szCs w:val="24"/>
          <w:lang w:val="en-CA"/>
        </w:rPr>
        <w:t>52</w:t>
      </w:r>
      <w:r w:rsidRPr="00A73C45">
        <w:rPr>
          <w:rFonts w:cs="Arial"/>
          <w:noProof/>
          <w:szCs w:val="24"/>
          <w:lang w:val="en-CA"/>
        </w:rPr>
        <w:t>: 5-37.</w:t>
      </w:r>
      <w:bookmarkEnd w:id="142"/>
    </w:p>
    <w:p w:rsidR="002402B5" w:rsidRPr="00A73C45" w:rsidRDefault="002402B5" w:rsidP="002402B5">
      <w:pPr>
        <w:spacing w:line="240" w:lineRule="auto"/>
        <w:rPr>
          <w:rFonts w:cs="Arial"/>
          <w:noProof/>
          <w:szCs w:val="24"/>
          <w:lang w:val="en-CA"/>
        </w:rPr>
      </w:pPr>
      <w:bookmarkStart w:id="143" w:name="_ENREF_11"/>
      <w:r w:rsidRPr="00A73C45">
        <w:rPr>
          <w:rFonts w:cs="Arial"/>
          <w:noProof/>
          <w:szCs w:val="24"/>
          <w:lang w:val="en-CA"/>
        </w:rPr>
        <w:t>11.</w:t>
      </w:r>
      <w:r w:rsidRPr="00A73C45">
        <w:rPr>
          <w:rFonts w:cs="Arial"/>
          <w:noProof/>
          <w:szCs w:val="24"/>
          <w:lang w:val="en-CA"/>
        </w:rPr>
        <w:tab/>
        <w:t xml:space="preserve">Doniach I. Changes in the meningeal vessels in acute and chronic (streptomycin-treated) tuberculous meningitis. The Journal of pathology and bacteriology. 1949; </w:t>
      </w:r>
      <w:r w:rsidRPr="00A73C45">
        <w:rPr>
          <w:rFonts w:cs="Arial"/>
          <w:b/>
          <w:noProof/>
          <w:szCs w:val="24"/>
          <w:lang w:val="en-CA"/>
        </w:rPr>
        <w:t>61</w:t>
      </w:r>
      <w:r w:rsidRPr="00A73C45">
        <w:rPr>
          <w:rFonts w:cs="Arial"/>
          <w:noProof/>
          <w:szCs w:val="24"/>
          <w:lang w:val="en-CA"/>
        </w:rPr>
        <w:t>(2): 253-9, 4 pl.</w:t>
      </w:r>
      <w:bookmarkEnd w:id="143"/>
    </w:p>
    <w:p w:rsidR="002402B5" w:rsidRPr="00A73C45" w:rsidRDefault="002402B5" w:rsidP="002402B5">
      <w:pPr>
        <w:spacing w:line="240" w:lineRule="auto"/>
        <w:rPr>
          <w:rFonts w:cs="Arial"/>
          <w:noProof/>
          <w:szCs w:val="24"/>
          <w:lang w:val="en-CA"/>
        </w:rPr>
      </w:pPr>
      <w:bookmarkStart w:id="144" w:name="_ENREF_12"/>
      <w:r w:rsidRPr="00A73C45">
        <w:rPr>
          <w:rFonts w:cs="Arial"/>
          <w:noProof/>
          <w:szCs w:val="24"/>
          <w:lang w:val="en-CA"/>
        </w:rPr>
        <w:t>12.</w:t>
      </w:r>
      <w:r w:rsidRPr="00A73C45">
        <w:rPr>
          <w:rFonts w:cs="Arial"/>
          <w:noProof/>
          <w:szCs w:val="24"/>
          <w:lang w:val="en-CA"/>
        </w:rPr>
        <w:tab/>
        <w:t xml:space="preserve">Poltera AA. Thrombogenic intracranial vasculitis in tuberculous meningitis. A 20 year "post mortem" survey. Acta neurologica Belgica. 1977; </w:t>
      </w:r>
      <w:r w:rsidRPr="00A73C45">
        <w:rPr>
          <w:rFonts w:cs="Arial"/>
          <w:b/>
          <w:noProof/>
          <w:szCs w:val="24"/>
          <w:lang w:val="en-CA"/>
        </w:rPr>
        <w:t>77</w:t>
      </w:r>
      <w:r w:rsidRPr="00A73C45">
        <w:rPr>
          <w:rFonts w:cs="Arial"/>
          <w:noProof/>
          <w:szCs w:val="24"/>
          <w:lang w:val="en-CA"/>
        </w:rPr>
        <w:t>(1): 12-24.</w:t>
      </w:r>
      <w:bookmarkEnd w:id="144"/>
    </w:p>
    <w:p w:rsidR="002402B5" w:rsidRPr="00A73C45" w:rsidRDefault="002402B5" w:rsidP="002402B5">
      <w:pPr>
        <w:spacing w:line="240" w:lineRule="auto"/>
        <w:rPr>
          <w:rFonts w:cs="Arial"/>
          <w:noProof/>
          <w:szCs w:val="24"/>
          <w:lang w:val="en-CA"/>
        </w:rPr>
      </w:pPr>
      <w:bookmarkStart w:id="145" w:name="_ENREF_13"/>
      <w:r w:rsidRPr="00A73C45">
        <w:rPr>
          <w:rFonts w:cs="Arial"/>
          <w:noProof/>
          <w:szCs w:val="24"/>
          <w:lang w:val="en-CA"/>
        </w:rPr>
        <w:t>13.</w:t>
      </w:r>
      <w:r w:rsidRPr="00A73C45">
        <w:rPr>
          <w:rFonts w:cs="Arial"/>
          <w:noProof/>
          <w:szCs w:val="24"/>
          <w:lang w:val="en-CA"/>
        </w:rPr>
        <w:tab/>
        <w:t xml:space="preserve">Botting RM. Vane's discovery of the mechanism of action of aspirin changed our understanding of its clinical pharmacology. Pharmacological reports : PR. 2010; </w:t>
      </w:r>
      <w:r w:rsidRPr="00A73C45">
        <w:rPr>
          <w:rFonts w:cs="Arial"/>
          <w:b/>
          <w:noProof/>
          <w:szCs w:val="24"/>
          <w:lang w:val="en-CA"/>
        </w:rPr>
        <w:t>62</w:t>
      </w:r>
      <w:r w:rsidRPr="00A73C45">
        <w:rPr>
          <w:rFonts w:cs="Arial"/>
          <w:noProof/>
          <w:szCs w:val="24"/>
          <w:lang w:val="en-CA"/>
        </w:rPr>
        <w:t>(3): 518-25.</w:t>
      </w:r>
      <w:bookmarkEnd w:id="145"/>
    </w:p>
    <w:p w:rsidR="002402B5" w:rsidRPr="00A73C45" w:rsidRDefault="002402B5" w:rsidP="002402B5">
      <w:pPr>
        <w:spacing w:line="240" w:lineRule="auto"/>
        <w:rPr>
          <w:rFonts w:cs="Arial"/>
          <w:noProof/>
          <w:szCs w:val="24"/>
          <w:lang w:val="en-CA"/>
        </w:rPr>
      </w:pPr>
      <w:bookmarkStart w:id="146" w:name="_ENREF_14"/>
      <w:r w:rsidRPr="00A73C45">
        <w:rPr>
          <w:rFonts w:cs="Arial"/>
          <w:noProof/>
          <w:szCs w:val="24"/>
          <w:lang w:val="en-CA"/>
        </w:rPr>
        <w:t>14.</w:t>
      </w:r>
      <w:r w:rsidRPr="00A73C45">
        <w:rPr>
          <w:rFonts w:cs="Arial"/>
          <w:noProof/>
          <w:szCs w:val="24"/>
          <w:lang w:val="en-CA"/>
        </w:rPr>
        <w:tab/>
        <w:t xml:space="preserve">Raju N, Sobieraj-Teague M, Hirsh J, O'Donnell M, Eikelboom J. Effect of aspirin on mortality in the primary prevention of cardiovascular disease. Am J Med. 2011; </w:t>
      </w:r>
      <w:r w:rsidRPr="00A73C45">
        <w:rPr>
          <w:rFonts w:cs="Arial"/>
          <w:b/>
          <w:noProof/>
          <w:szCs w:val="24"/>
          <w:lang w:val="en-CA"/>
        </w:rPr>
        <w:t>124</w:t>
      </w:r>
      <w:r w:rsidRPr="00A73C45">
        <w:rPr>
          <w:rFonts w:cs="Arial"/>
          <w:noProof/>
          <w:szCs w:val="24"/>
          <w:lang w:val="en-CA"/>
        </w:rPr>
        <w:t>(7): 621-9.</w:t>
      </w:r>
      <w:bookmarkEnd w:id="146"/>
    </w:p>
    <w:p w:rsidR="002402B5" w:rsidRPr="00A73C45" w:rsidRDefault="002402B5" w:rsidP="002402B5">
      <w:pPr>
        <w:spacing w:line="240" w:lineRule="auto"/>
        <w:rPr>
          <w:rFonts w:cs="Arial"/>
          <w:noProof/>
          <w:szCs w:val="24"/>
          <w:lang w:val="en-CA"/>
        </w:rPr>
      </w:pPr>
      <w:bookmarkStart w:id="147" w:name="_ENREF_15"/>
      <w:r w:rsidRPr="00A73C45">
        <w:rPr>
          <w:rFonts w:cs="Arial"/>
          <w:noProof/>
          <w:szCs w:val="24"/>
          <w:lang w:val="en-CA"/>
        </w:rPr>
        <w:t>15.</w:t>
      </w:r>
      <w:r w:rsidRPr="00A73C45">
        <w:rPr>
          <w:rFonts w:cs="Arial"/>
          <w:noProof/>
          <w:szCs w:val="24"/>
          <w:lang w:val="en-CA"/>
        </w:rPr>
        <w:tab/>
        <w:t xml:space="preserve">Spite M, Serhan CN. Novel lipid mediators promote resolution of acute inflammation: impact of aspirin and statins. Circulation research. 2010; </w:t>
      </w:r>
      <w:r w:rsidRPr="00A73C45">
        <w:rPr>
          <w:rFonts w:cs="Arial"/>
          <w:b/>
          <w:noProof/>
          <w:szCs w:val="24"/>
          <w:lang w:val="en-CA"/>
        </w:rPr>
        <w:t>107</w:t>
      </w:r>
      <w:r w:rsidRPr="00A73C45">
        <w:rPr>
          <w:rFonts w:cs="Arial"/>
          <w:noProof/>
          <w:szCs w:val="24"/>
          <w:lang w:val="en-CA"/>
        </w:rPr>
        <w:t>(10): 1170-84.</w:t>
      </w:r>
      <w:bookmarkEnd w:id="147"/>
    </w:p>
    <w:p w:rsidR="002402B5" w:rsidRPr="00A73C45" w:rsidRDefault="002402B5" w:rsidP="002402B5">
      <w:pPr>
        <w:spacing w:line="240" w:lineRule="auto"/>
        <w:rPr>
          <w:rFonts w:cs="Arial"/>
          <w:noProof/>
          <w:szCs w:val="24"/>
          <w:lang w:val="en-CA"/>
        </w:rPr>
      </w:pPr>
      <w:bookmarkStart w:id="148" w:name="_ENREF_16"/>
      <w:r w:rsidRPr="00A73C45">
        <w:rPr>
          <w:rFonts w:cs="Arial"/>
          <w:noProof/>
          <w:szCs w:val="24"/>
          <w:lang w:val="en-CA"/>
        </w:rPr>
        <w:t>16.</w:t>
      </w:r>
      <w:r w:rsidRPr="00A73C45">
        <w:rPr>
          <w:rFonts w:cs="Arial"/>
          <w:noProof/>
          <w:szCs w:val="24"/>
          <w:lang w:val="en-CA"/>
        </w:rPr>
        <w:tab/>
        <w:t xml:space="preserve">Misra UK, Kalita J, Nair PP. Role of aspirin in tuberculous meningitis: a randomized open label placebo controlled trial. J Neurol Sci. 2010; </w:t>
      </w:r>
      <w:r w:rsidRPr="00A73C45">
        <w:rPr>
          <w:rFonts w:cs="Arial"/>
          <w:b/>
          <w:noProof/>
          <w:szCs w:val="24"/>
          <w:lang w:val="en-CA"/>
        </w:rPr>
        <w:t>293</w:t>
      </w:r>
      <w:r w:rsidRPr="00A73C45">
        <w:rPr>
          <w:rFonts w:cs="Arial"/>
          <w:noProof/>
          <w:szCs w:val="24"/>
          <w:lang w:val="en-CA"/>
        </w:rPr>
        <w:t>(1-2): 12-7.</w:t>
      </w:r>
      <w:bookmarkEnd w:id="148"/>
    </w:p>
    <w:p w:rsidR="002402B5" w:rsidRPr="00A73C45" w:rsidRDefault="002402B5" w:rsidP="002402B5">
      <w:pPr>
        <w:spacing w:line="240" w:lineRule="auto"/>
        <w:rPr>
          <w:rFonts w:cs="Arial"/>
          <w:noProof/>
          <w:szCs w:val="24"/>
          <w:lang w:val="en-CA"/>
        </w:rPr>
      </w:pPr>
      <w:bookmarkStart w:id="149" w:name="_ENREF_17"/>
      <w:r w:rsidRPr="00A73C45">
        <w:rPr>
          <w:rFonts w:cs="Arial"/>
          <w:noProof/>
          <w:szCs w:val="24"/>
          <w:lang w:val="en-CA"/>
        </w:rPr>
        <w:t>17.</w:t>
      </w:r>
      <w:r w:rsidRPr="00A73C45">
        <w:rPr>
          <w:rFonts w:cs="Arial"/>
          <w:noProof/>
          <w:szCs w:val="24"/>
          <w:lang w:val="en-CA"/>
        </w:rPr>
        <w:tab/>
        <w:t xml:space="preserve">Schoeman JF, Janse van Rensburg A, Laubscher JA, Springer P. The role of aspirin in childhood tuberculous meningitis. Journal of child neurology. 2011; </w:t>
      </w:r>
      <w:r w:rsidRPr="00A73C45">
        <w:rPr>
          <w:rFonts w:cs="Arial"/>
          <w:b/>
          <w:noProof/>
          <w:szCs w:val="24"/>
          <w:lang w:val="en-CA"/>
        </w:rPr>
        <w:t>26</w:t>
      </w:r>
      <w:r w:rsidRPr="00A73C45">
        <w:rPr>
          <w:rFonts w:cs="Arial"/>
          <w:noProof/>
          <w:szCs w:val="24"/>
          <w:lang w:val="en-CA"/>
        </w:rPr>
        <w:t>(8): 956-62.</w:t>
      </w:r>
      <w:bookmarkEnd w:id="149"/>
    </w:p>
    <w:p w:rsidR="002402B5" w:rsidRPr="00A73C45" w:rsidRDefault="002402B5" w:rsidP="00B96E63">
      <w:pPr>
        <w:spacing w:line="240" w:lineRule="auto"/>
        <w:rPr>
          <w:rFonts w:cs="Arial"/>
          <w:noProof/>
          <w:szCs w:val="24"/>
          <w:lang w:val="en-CA"/>
        </w:rPr>
      </w:pPr>
      <w:bookmarkStart w:id="150" w:name="_ENREF_18"/>
      <w:r w:rsidRPr="00A73C45">
        <w:rPr>
          <w:rFonts w:cs="Arial"/>
          <w:noProof/>
          <w:szCs w:val="24"/>
          <w:lang w:val="en-CA"/>
        </w:rPr>
        <w:t>18.</w:t>
      </w:r>
      <w:r w:rsidRPr="00A73C45">
        <w:rPr>
          <w:rFonts w:cs="Arial"/>
          <w:noProof/>
          <w:szCs w:val="24"/>
          <w:lang w:val="en-CA"/>
        </w:rPr>
        <w:tab/>
        <w:t xml:space="preserve">Tobin DM, Vary JC, Jr., Ray JP, Walsh GS, Dunstan SJ, Bang ND, et al. The lta4h locus modulates susceptibility to mycobacterial infection in zebrafish and humans. Cell. 2010; </w:t>
      </w:r>
      <w:r w:rsidRPr="00A73C45">
        <w:rPr>
          <w:rFonts w:cs="Arial"/>
          <w:b/>
          <w:noProof/>
          <w:szCs w:val="24"/>
          <w:lang w:val="en-CA"/>
        </w:rPr>
        <w:t>140</w:t>
      </w:r>
      <w:r w:rsidRPr="00A73C45">
        <w:rPr>
          <w:rFonts w:cs="Arial"/>
          <w:noProof/>
          <w:szCs w:val="24"/>
          <w:lang w:val="en-CA"/>
        </w:rPr>
        <w:t>(5): 717-30.</w:t>
      </w:r>
      <w:bookmarkEnd w:id="150"/>
    </w:p>
    <w:p w:rsidR="002402B5" w:rsidRPr="00A73C45" w:rsidRDefault="002402B5" w:rsidP="00B96E63">
      <w:pPr>
        <w:spacing w:line="240" w:lineRule="auto"/>
        <w:rPr>
          <w:rFonts w:cs="Arial"/>
          <w:noProof/>
          <w:lang w:val="en-CA"/>
        </w:rPr>
      </w:pPr>
      <w:bookmarkStart w:id="151" w:name="_ENREF_19"/>
      <w:r w:rsidRPr="00A73C45">
        <w:rPr>
          <w:rFonts w:cs="Arial"/>
          <w:noProof/>
          <w:szCs w:val="24"/>
          <w:lang w:val="en-CA"/>
        </w:rPr>
        <w:t>19.</w:t>
      </w:r>
      <w:r w:rsidRPr="00A73C45">
        <w:rPr>
          <w:rFonts w:cs="Arial"/>
          <w:noProof/>
          <w:szCs w:val="24"/>
          <w:lang w:val="en-CA"/>
        </w:rPr>
        <w:tab/>
        <w:t>Tobin DM, Roca FJ, Oh SF, McFarland R, Vickery TW, Ray JP, et al. Host genotype-specific t</w:t>
      </w:r>
      <w:r w:rsidRPr="00A73C45">
        <w:rPr>
          <w:rFonts w:cs="Arial"/>
          <w:noProof/>
          <w:lang w:val="en-CA"/>
        </w:rPr>
        <w:t>herapies can optimize the inflammatory response to mycobacterial infections. Cell. 2012; 148(3): 434-46.</w:t>
      </w:r>
      <w:bookmarkEnd w:id="151"/>
    </w:p>
    <w:p w:rsidR="00B96E63" w:rsidRPr="00A73C45" w:rsidRDefault="001049BE" w:rsidP="00B96E63">
      <w:pPr>
        <w:pStyle w:val="BodyTextIndent"/>
        <w:spacing w:line="240" w:lineRule="auto"/>
        <w:ind w:left="0"/>
        <w:rPr>
          <w:rFonts w:cs="Arial"/>
          <w:lang w:val="en-CA"/>
        </w:rPr>
      </w:pPr>
      <w:r w:rsidRPr="00A73C45">
        <w:rPr>
          <w:rFonts w:cs="Arial"/>
          <w:noProof/>
          <w:lang w:val="en-CA"/>
        </w:rPr>
        <w:t>20.</w:t>
      </w:r>
      <w:r w:rsidR="00B96E63" w:rsidRPr="00A73C45">
        <w:rPr>
          <w:rFonts w:cs="Arial"/>
          <w:noProof/>
          <w:lang w:val="en-CA"/>
        </w:rPr>
        <w:t xml:space="preserve"> </w:t>
      </w:r>
      <w:r w:rsidR="00B96E63" w:rsidRPr="00A73C45">
        <w:rPr>
          <w:rFonts w:cs="Arial"/>
          <w:lang w:val="en-CA"/>
        </w:rPr>
        <w:t xml:space="preserve">TR Hawn, SJ Dunstan, GE Thwaites, CP Simmons, NT Thuong, NTN Lan, HT Quy, TTH Chau, S Rodrigues, M Janer, LP Zhao, TT Hien, JJ Farrar, A Aderem. A polymorphism in human TIRAP is associated with increased susceptibility to meningeal tuberculosis. </w:t>
      </w:r>
      <w:r w:rsidR="00B96E63" w:rsidRPr="00A73C45">
        <w:rPr>
          <w:rFonts w:cs="Arial"/>
          <w:bCs/>
          <w:iCs/>
          <w:lang w:val="en-CA"/>
        </w:rPr>
        <w:t xml:space="preserve">Journal of Infectious Diseases. 2006; </w:t>
      </w:r>
      <w:r w:rsidR="00B96E63" w:rsidRPr="00A73C45">
        <w:rPr>
          <w:rFonts w:cs="Arial"/>
          <w:b/>
          <w:lang w:val="en-CA"/>
        </w:rPr>
        <w:t>194</w:t>
      </w:r>
      <w:r w:rsidR="00B96E63" w:rsidRPr="00A73C45">
        <w:rPr>
          <w:rFonts w:cs="Arial"/>
          <w:lang w:val="en-CA"/>
        </w:rPr>
        <w:t>(8):1127-34.</w:t>
      </w:r>
    </w:p>
    <w:p w:rsidR="00B96E63" w:rsidRPr="00A73C45" w:rsidRDefault="001049BE" w:rsidP="00B96E63">
      <w:pPr>
        <w:spacing w:line="240" w:lineRule="auto"/>
        <w:rPr>
          <w:rFonts w:cs="Arial"/>
          <w:color w:val="000000" w:themeColor="text1"/>
          <w:lang w:val="en-CA"/>
        </w:rPr>
      </w:pPr>
      <w:r w:rsidRPr="00A73C45">
        <w:rPr>
          <w:rFonts w:cs="Arial"/>
          <w:noProof/>
          <w:lang w:val="en-CA"/>
        </w:rPr>
        <w:lastRenderedPageBreak/>
        <w:t>21.</w:t>
      </w:r>
      <w:r w:rsidR="00B96E63" w:rsidRPr="00A73C45">
        <w:rPr>
          <w:rFonts w:cs="Arial"/>
          <w:noProof/>
          <w:lang w:val="en-CA"/>
        </w:rPr>
        <w:t xml:space="preserve">  </w:t>
      </w:r>
      <w:hyperlink r:id="rId17" w:history="1">
        <w:r w:rsidR="00B96E63" w:rsidRPr="00A73C45">
          <w:rPr>
            <w:rStyle w:val="Hyperlink"/>
            <w:rFonts w:cs="Arial"/>
            <w:color w:val="000000" w:themeColor="text1"/>
            <w:u w:val="none"/>
            <w:lang w:val="en-CA"/>
          </w:rPr>
          <w:t>Thuong NT, Hawn TR, Thwaites GE, Chau TT, Lan NT, Quy HT, Hieu NT, Aderem A, Hien TT, Farrar JJ, Dunstan SJ.</w:t>
        </w:r>
      </w:hyperlink>
      <w:r w:rsidR="00B96E63" w:rsidRPr="00A73C45">
        <w:rPr>
          <w:rFonts w:cs="Arial"/>
          <w:color w:val="000000" w:themeColor="text1"/>
          <w:lang w:val="en-CA"/>
        </w:rPr>
        <w:t xml:space="preserve"> A polymorphism in human TLR2 is associated with increased susceptibility to tuberculous meningitis. Genes Immun. 2007 </w:t>
      </w:r>
      <w:r w:rsidR="00B96E63" w:rsidRPr="00A73C45">
        <w:rPr>
          <w:rFonts w:cs="Arial"/>
          <w:b/>
          <w:color w:val="000000" w:themeColor="text1"/>
          <w:lang w:val="en-CA"/>
        </w:rPr>
        <w:t>8(5)</w:t>
      </w:r>
      <w:r w:rsidR="00B96E63" w:rsidRPr="00A73C45">
        <w:rPr>
          <w:rFonts w:cs="Arial"/>
          <w:color w:val="000000" w:themeColor="text1"/>
          <w:lang w:val="en-CA"/>
        </w:rPr>
        <w:t xml:space="preserve">:422-8. </w:t>
      </w:r>
    </w:p>
    <w:p w:rsidR="00C1767C" w:rsidRPr="00A73C45" w:rsidRDefault="001049BE" w:rsidP="00B96E63">
      <w:pPr>
        <w:spacing w:line="240" w:lineRule="auto"/>
        <w:rPr>
          <w:noProof/>
          <w:lang w:val="en-CA"/>
        </w:rPr>
      </w:pPr>
      <w:r w:rsidRPr="00A73C45">
        <w:rPr>
          <w:rFonts w:cs="Arial"/>
          <w:noProof/>
          <w:lang w:val="en-CA"/>
        </w:rPr>
        <w:t>22</w:t>
      </w:r>
      <w:r w:rsidR="00C1767C" w:rsidRPr="00A73C45">
        <w:rPr>
          <w:rFonts w:cs="Arial"/>
          <w:noProof/>
          <w:lang w:val="en-CA"/>
        </w:rPr>
        <w:t xml:space="preserve"> Mwan</w:t>
      </w:r>
      <w:r w:rsidR="00C1767C" w:rsidRPr="00A73C45">
        <w:rPr>
          <w:noProof/>
          <w:lang w:val="en-CA"/>
        </w:rPr>
        <w:t xml:space="preserve">dumba HC, Russell DG, Nyirenda MH, Anderson J, White SA, Molyneux ME, Squire SB. 2004. Mycobacterium tuberculosis resides in nonacidified vacuoles in endocytically competent alveolar macrophages from patients with tuberculosis and HIV infection. J Immunol </w:t>
      </w:r>
      <w:r w:rsidR="00C1767C" w:rsidRPr="00A73C45">
        <w:rPr>
          <w:b/>
          <w:noProof/>
          <w:lang w:val="en-CA"/>
        </w:rPr>
        <w:t>172</w:t>
      </w:r>
      <w:r w:rsidR="00C1767C" w:rsidRPr="00A73C45">
        <w:rPr>
          <w:noProof/>
          <w:lang w:val="en-CA"/>
        </w:rPr>
        <w:t>: 4592-8</w:t>
      </w:r>
    </w:p>
    <w:p w:rsidR="00C1767C" w:rsidRPr="00A73C45" w:rsidRDefault="00C1767C" w:rsidP="00B96E63">
      <w:pPr>
        <w:spacing w:line="240" w:lineRule="auto"/>
        <w:rPr>
          <w:noProof/>
          <w:lang w:val="en-CA"/>
        </w:rPr>
      </w:pPr>
      <w:r w:rsidRPr="00A73C45">
        <w:rPr>
          <w:noProof/>
          <w:lang w:val="en-CA"/>
        </w:rPr>
        <w:t xml:space="preserve">23. Yates RM, Hermetter A, Taylor GA, Russell DG. 2007. Macrophage activation downregulates the degradative capacity of the phagosome. Traffic </w:t>
      </w:r>
      <w:r w:rsidRPr="00A73C45">
        <w:rPr>
          <w:b/>
          <w:noProof/>
          <w:lang w:val="en-CA"/>
        </w:rPr>
        <w:t>8</w:t>
      </w:r>
      <w:r w:rsidRPr="00A73C45">
        <w:rPr>
          <w:noProof/>
          <w:lang w:val="en-CA"/>
        </w:rPr>
        <w:t>: 241-50</w:t>
      </w:r>
    </w:p>
    <w:p w:rsidR="002402B5" w:rsidRPr="00A73C45" w:rsidRDefault="00C1767C" w:rsidP="00B96E63">
      <w:pPr>
        <w:spacing w:line="240" w:lineRule="auto"/>
        <w:rPr>
          <w:rFonts w:cs="Arial"/>
          <w:noProof/>
          <w:szCs w:val="24"/>
          <w:lang w:val="en-CA"/>
        </w:rPr>
      </w:pPr>
      <w:bookmarkStart w:id="152" w:name="_ENREF_20"/>
      <w:r w:rsidRPr="00A73C45">
        <w:rPr>
          <w:rFonts w:cs="Arial"/>
          <w:noProof/>
          <w:szCs w:val="24"/>
          <w:lang w:val="en-CA"/>
        </w:rPr>
        <w:t>24</w:t>
      </w:r>
      <w:r w:rsidR="002402B5" w:rsidRPr="00A73C45">
        <w:rPr>
          <w:rFonts w:cs="Arial"/>
          <w:noProof/>
          <w:szCs w:val="24"/>
          <w:lang w:val="en-CA"/>
        </w:rPr>
        <w:t>.</w:t>
      </w:r>
      <w:r w:rsidR="002402B5" w:rsidRPr="00A73C45">
        <w:rPr>
          <w:rFonts w:cs="Arial"/>
          <w:noProof/>
          <w:szCs w:val="24"/>
          <w:lang w:val="en-CA"/>
        </w:rPr>
        <w:tab/>
        <w:t xml:space="preserve">Marais S, Thwaites G, Schoeman JF, Torok ME, Misra UK, Prasad K, et al. Tuberculous meningitis: a uniform case definition for use in clinical research. The Lancet infectious diseases. 2010; </w:t>
      </w:r>
      <w:r w:rsidR="002402B5" w:rsidRPr="00A73C45">
        <w:rPr>
          <w:rFonts w:cs="Arial"/>
          <w:b/>
          <w:noProof/>
          <w:szCs w:val="24"/>
          <w:lang w:val="en-CA"/>
        </w:rPr>
        <w:t>10</w:t>
      </w:r>
      <w:r w:rsidR="002402B5" w:rsidRPr="00A73C45">
        <w:rPr>
          <w:rFonts w:cs="Arial"/>
          <w:noProof/>
          <w:szCs w:val="24"/>
          <w:lang w:val="en-CA"/>
        </w:rPr>
        <w:t>(11): 803-12.</w:t>
      </w:r>
      <w:bookmarkEnd w:id="152"/>
    </w:p>
    <w:p w:rsidR="002402B5" w:rsidRPr="00A73C45" w:rsidRDefault="002402B5" w:rsidP="00B96E63">
      <w:pPr>
        <w:spacing w:line="240" w:lineRule="auto"/>
        <w:rPr>
          <w:lang w:val="en-CA"/>
        </w:rPr>
      </w:pPr>
    </w:p>
    <w:p w:rsidR="00F84AE3" w:rsidRDefault="00F84AE3" w:rsidP="00856337">
      <w:pPr>
        <w:pStyle w:val="Heading1"/>
        <w:rPr>
          <w:lang w:val="en-CA"/>
        </w:rPr>
      </w:pPr>
      <w:r w:rsidRPr="00A73C45">
        <w:rPr>
          <w:lang w:val="en-CA"/>
        </w:rPr>
        <w:br w:type="page"/>
      </w:r>
      <w:bookmarkStart w:id="153" w:name="_Toc387306527"/>
      <w:r w:rsidRPr="00A73C45">
        <w:rPr>
          <w:lang w:val="en-CA"/>
        </w:rPr>
        <w:lastRenderedPageBreak/>
        <w:t>APPENDIX A: STUDY FLOW CHART</w:t>
      </w:r>
      <w:bookmarkEnd w:id="153"/>
    </w:p>
    <w:p w:rsidR="006B64BB" w:rsidRPr="006B64BB" w:rsidRDefault="006B64BB" w:rsidP="006B64BB">
      <w:pPr>
        <w:rPr>
          <w:lang w:val="en-CA"/>
        </w:rPr>
      </w:pPr>
    </w:p>
    <w:p w:rsidR="00F84AE3" w:rsidRPr="00A73C45" w:rsidRDefault="00F84AE3">
      <w:pPr>
        <w:rPr>
          <w:lang w:val="en-CA"/>
        </w:rPr>
      </w:pPr>
    </w:p>
    <w:p w:rsidR="008F47F8" w:rsidRPr="00A73C45" w:rsidRDefault="00A260AB">
      <w:pPr>
        <w:rPr>
          <w:lang w:val="en-CA"/>
        </w:rPr>
      </w:pPr>
      <w:r w:rsidRPr="0072079D">
        <w:rPr>
          <w:lang w:val="en-US"/>
        </w:rPr>
        <w:object w:dxaOrig="5244" w:dyaOrig="6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38.6pt" o:ole="">
            <v:imagedata r:id="rId18" o:title=""/>
          </v:shape>
          <o:OLEObject Type="Embed" ProgID="PowerPoint.Slide.12" ShapeID="_x0000_i1025" DrawAspect="Content" ObjectID="_1470544423" r:id="rId19"/>
        </w:object>
      </w:r>
    </w:p>
    <w:p w:rsidR="00130DD2" w:rsidRPr="00A73C45" w:rsidRDefault="00130DD2">
      <w:pPr>
        <w:rPr>
          <w:lang w:val="en-CA"/>
        </w:rPr>
      </w:pPr>
    </w:p>
    <w:p w:rsidR="00404AA3" w:rsidRPr="00A73C45" w:rsidRDefault="00404AA3">
      <w:pPr>
        <w:rPr>
          <w:lang w:val="en-CA"/>
        </w:rPr>
      </w:pPr>
    </w:p>
    <w:p w:rsidR="00404AA3" w:rsidRPr="00A73C45" w:rsidRDefault="00404AA3">
      <w:pPr>
        <w:rPr>
          <w:lang w:val="en-CA"/>
        </w:rPr>
      </w:pPr>
    </w:p>
    <w:p w:rsidR="00404AA3" w:rsidRPr="00A73C45" w:rsidRDefault="00404AA3">
      <w:pPr>
        <w:rPr>
          <w:lang w:val="en-CA"/>
        </w:rPr>
      </w:pPr>
    </w:p>
    <w:p w:rsidR="00404AA3" w:rsidRPr="00A73C45" w:rsidRDefault="00404AA3">
      <w:pPr>
        <w:rPr>
          <w:lang w:val="en-CA"/>
        </w:rPr>
      </w:pPr>
    </w:p>
    <w:p w:rsidR="00F84AE3" w:rsidRPr="00A73C45" w:rsidRDefault="00F84AE3" w:rsidP="001770D8">
      <w:pPr>
        <w:pStyle w:val="Heading1"/>
        <w:rPr>
          <w:lang w:val="en-CA"/>
        </w:rPr>
      </w:pPr>
      <w:bookmarkStart w:id="154" w:name="_Toc387306528"/>
      <w:r w:rsidRPr="00A73C45">
        <w:rPr>
          <w:lang w:val="en-CA"/>
        </w:rPr>
        <w:t>APPENDIX B: SCHEDULE OF PROCEDURES</w:t>
      </w:r>
      <w:bookmarkEnd w:id="154"/>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992"/>
        <w:gridCol w:w="875"/>
        <w:gridCol w:w="684"/>
        <w:gridCol w:w="709"/>
        <w:gridCol w:w="1276"/>
        <w:gridCol w:w="850"/>
        <w:gridCol w:w="851"/>
        <w:gridCol w:w="940"/>
      </w:tblGrid>
      <w:tr w:rsidR="00EF354D" w:rsidRPr="00A73C45" w:rsidTr="00856337">
        <w:trPr>
          <w:cantSplit/>
        </w:trPr>
        <w:tc>
          <w:tcPr>
            <w:tcW w:w="2093" w:type="dxa"/>
            <w:vMerge w:val="restart"/>
            <w:vAlign w:val="center"/>
          </w:tcPr>
          <w:p w:rsidR="00EF354D" w:rsidRPr="00856337" w:rsidRDefault="00EF354D" w:rsidP="00856337">
            <w:pPr>
              <w:jc w:val="center"/>
              <w:rPr>
                <w:rFonts w:cs="Arial"/>
                <w:b/>
                <w:sz w:val="20"/>
                <w:szCs w:val="20"/>
                <w:lang w:val="en-CA"/>
              </w:rPr>
            </w:pPr>
            <w:r w:rsidRPr="00856337">
              <w:rPr>
                <w:rFonts w:cs="Arial"/>
                <w:b/>
                <w:sz w:val="20"/>
                <w:szCs w:val="20"/>
                <w:lang w:val="en-CA"/>
              </w:rPr>
              <w:t>Procedures</w:t>
            </w:r>
          </w:p>
        </w:tc>
        <w:tc>
          <w:tcPr>
            <w:tcW w:w="7177" w:type="dxa"/>
            <w:gridSpan w:val="8"/>
            <w:vAlign w:val="center"/>
          </w:tcPr>
          <w:p w:rsidR="00EF354D" w:rsidRPr="00856337" w:rsidRDefault="00EF354D" w:rsidP="00856337">
            <w:pPr>
              <w:jc w:val="center"/>
              <w:rPr>
                <w:rFonts w:cs="Arial"/>
                <w:b/>
                <w:sz w:val="20"/>
                <w:szCs w:val="20"/>
                <w:lang w:val="en-CA"/>
              </w:rPr>
            </w:pPr>
            <w:r w:rsidRPr="00856337">
              <w:rPr>
                <w:rFonts w:cs="Arial"/>
                <w:b/>
                <w:sz w:val="20"/>
                <w:szCs w:val="20"/>
                <w:lang w:val="en-CA"/>
              </w:rPr>
              <w:t>Visits</w:t>
            </w:r>
          </w:p>
        </w:tc>
      </w:tr>
      <w:tr w:rsidR="00EF354D" w:rsidRPr="00A73C45" w:rsidTr="00856337">
        <w:trPr>
          <w:cantSplit/>
        </w:trPr>
        <w:tc>
          <w:tcPr>
            <w:tcW w:w="2093" w:type="dxa"/>
            <w:vMerge/>
          </w:tcPr>
          <w:p w:rsidR="00EF354D" w:rsidRPr="00A73C45" w:rsidRDefault="00EF354D">
            <w:pPr>
              <w:rPr>
                <w:rFonts w:cs="Arial"/>
                <w:b/>
                <w:sz w:val="16"/>
                <w:szCs w:val="16"/>
                <w:lang w:val="en-CA"/>
              </w:rPr>
            </w:pPr>
          </w:p>
        </w:tc>
        <w:tc>
          <w:tcPr>
            <w:tcW w:w="992" w:type="dxa"/>
            <w:vAlign w:val="center"/>
          </w:tcPr>
          <w:p w:rsidR="00EF354D" w:rsidRPr="00A73C45" w:rsidRDefault="00EF354D" w:rsidP="00856337">
            <w:pPr>
              <w:jc w:val="center"/>
              <w:rPr>
                <w:rFonts w:cs="Arial"/>
                <w:b/>
                <w:sz w:val="16"/>
                <w:szCs w:val="16"/>
                <w:lang w:val="en-CA"/>
              </w:rPr>
            </w:pPr>
            <w:r w:rsidRPr="00A73C45">
              <w:rPr>
                <w:rFonts w:cs="Arial"/>
                <w:b/>
                <w:sz w:val="16"/>
                <w:szCs w:val="16"/>
                <w:lang w:val="en-CA"/>
              </w:rPr>
              <w:t>Screening</w:t>
            </w:r>
          </w:p>
        </w:tc>
        <w:tc>
          <w:tcPr>
            <w:tcW w:w="875" w:type="dxa"/>
            <w:vAlign w:val="center"/>
          </w:tcPr>
          <w:p w:rsidR="00EF354D" w:rsidRPr="00A73C45" w:rsidRDefault="00EF354D" w:rsidP="00856337">
            <w:pPr>
              <w:jc w:val="center"/>
              <w:rPr>
                <w:rFonts w:cs="Arial"/>
                <w:b/>
                <w:sz w:val="16"/>
                <w:szCs w:val="16"/>
                <w:lang w:val="en-CA"/>
              </w:rPr>
            </w:pPr>
            <w:r w:rsidRPr="00A73C45">
              <w:rPr>
                <w:rFonts w:cs="Arial"/>
                <w:b/>
                <w:sz w:val="16"/>
                <w:szCs w:val="16"/>
                <w:lang w:val="en-CA"/>
              </w:rPr>
              <w:t>Baseline</w:t>
            </w:r>
          </w:p>
        </w:tc>
        <w:tc>
          <w:tcPr>
            <w:tcW w:w="684" w:type="dxa"/>
            <w:vAlign w:val="center"/>
          </w:tcPr>
          <w:p w:rsidR="00EF354D" w:rsidRPr="00A73C45" w:rsidRDefault="00EF354D" w:rsidP="00856337">
            <w:pPr>
              <w:jc w:val="center"/>
              <w:rPr>
                <w:rFonts w:cs="Arial"/>
                <w:b/>
                <w:bCs/>
                <w:sz w:val="16"/>
                <w:szCs w:val="16"/>
                <w:lang w:val="en-CA"/>
              </w:rPr>
            </w:pPr>
            <w:r w:rsidRPr="00A73C45">
              <w:rPr>
                <w:rFonts w:cs="Arial"/>
                <w:b/>
                <w:bCs/>
                <w:sz w:val="16"/>
                <w:szCs w:val="16"/>
                <w:lang w:val="en-CA"/>
              </w:rPr>
              <w:t>Day 3</w:t>
            </w:r>
            <w:r w:rsidR="00B5645F" w:rsidRPr="00A73C45">
              <w:rPr>
                <w:rFonts w:cs="Arial"/>
                <w:b/>
                <w:bCs/>
                <w:sz w:val="16"/>
                <w:szCs w:val="16"/>
                <w:lang w:val="en-CA"/>
              </w:rPr>
              <w:t xml:space="preserve"> (+/- 2 days)</w:t>
            </w:r>
          </w:p>
        </w:tc>
        <w:tc>
          <w:tcPr>
            <w:tcW w:w="709" w:type="dxa"/>
            <w:vAlign w:val="center"/>
          </w:tcPr>
          <w:p w:rsidR="00EF354D" w:rsidRPr="00A73C45" w:rsidRDefault="00EF354D" w:rsidP="00856337">
            <w:pPr>
              <w:jc w:val="center"/>
              <w:rPr>
                <w:rFonts w:cs="Arial"/>
                <w:b/>
                <w:bCs/>
                <w:sz w:val="16"/>
                <w:szCs w:val="16"/>
                <w:lang w:val="en-CA"/>
              </w:rPr>
            </w:pPr>
            <w:r w:rsidRPr="00A73C45">
              <w:rPr>
                <w:rFonts w:cs="Arial"/>
                <w:b/>
                <w:bCs/>
                <w:sz w:val="16"/>
                <w:szCs w:val="16"/>
                <w:lang w:val="en-CA"/>
              </w:rPr>
              <w:t>Day 7</w:t>
            </w:r>
          </w:p>
          <w:p w:rsidR="00EA57AE" w:rsidRPr="00A73C45" w:rsidRDefault="00EA57AE" w:rsidP="00856337">
            <w:pPr>
              <w:jc w:val="center"/>
              <w:rPr>
                <w:rFonts w:cs="Arial"/>
                <w:b/>
                <w:bCs/>
                <w:sz w:val="16"/>
                <w:szCs w:val="16"/>
                <w:lang w:val="en-CA"/>
              </w:rPr>
            </w:pPr>
            <w:r w:rsidRPr="00A73C45">
              <w:rPr>
                <w:rFonts w:cs="Arial"/>
                <w:b/>
                <w:bCs/>
                <w:sz w:val="16"/>
                <w:szCs w:val="16"/>
                <w:lang w:val="en-CA"/>
              </w:rPr>
              <w:t>(+/- 2 days)</w:t>
            </w:r>
          </w:p>
        </w:tc>
        <w:tc>
          <w:tcPr>
            <w:tcW w:w="1276" w:type="dxa"/>
            <w:vAlign w:val="center"/>
          </w:tcPr>
          <w:p w:rsidR="00EF354D" w:rsidRPr="00A73C45" w:rsidRDefault="00EF354D" w:rsidP="00856337">
            <w:pPr>
              <w:jc w:val="center"/>
              <w:rPr>
                <w:rFonts w:cs="Arial"/>
                <w:b/>
                <w:bCs/>
                <w:sz w:val="16"/>
                <w:szCs w:val="16"/>
                <w:lang w:val="en-CA"/>
              </w:rPr>
            </w:pPr>
            <w:r w:rsidRPr="00A73C45">
              <w:rPr>
                <w:rFonts w:cs="Arial"/>
                <w:b/>
                <w:bCs/>
                <w:sz w:val="16"/>
                <w:szCs w:val="16"/>
                <w:lang w:val="en-CA"/>
              </w:rPr>
              <w:t>Weekly until discharge</w:t>
            </w:r>
          </w:p>
        </w:tc>
        <w:tc>
          <w:tcPr>
            <w:tcW w:w="850" w:type="dxa"/>
            <w:vAlign w:val="center"/>
          </w:tcPr>
          <w:p w:rsidR="00EF354D" w:rsidRPr="00A73C45" w:rsidRDefault="00EF354D" w:rsidP="00856337">
            <w:pPr>
              <w:jc w:val="center"/>
              <w:rPr>
                <w:rFonts w:cs="Arial"/>
                <w:b/>
                <w:bCs/>
                <w:sz w:val="16"/>
                <w:szCs w:val="16"/>
                <w:lang w:val="en-CA"/>
              </w:rPr>
            </w:pPr>
            <w:r w:rsidRPr="00A73C45">
              <w:rPr>
                <w:rFonts w:cs="Arial"/>
                <w:b/>
                <w:bCs/>
                <w:sz w:val="16"/>
                <w:szCs w:val="16"/>
                <w:lang w:val="en-CA"/>
              </w:rPr>
              <w:t>Day 30</w:t>
            </w:r>
          </w:p>
          <w:p w:rsidR="00EA57AE" w:rsidRPr="00A73C45" w:rsidRDefault="00EA57AE" w:rsidP="00856337">
            <w:pPr>
              <w:jc w:val="center"/>
              <w:rPr>
                <w:rFonts w:cs="Arial"/>
                <w:b/>
                <w:bCs/>
                <w:sz w:val="16"/>
                <w:szCs w:val="16"/>
                <w:lang w:val="en-CA"/>
              </w:rPr>
            </w:pPr>
            <w:r w:rsidRPr="00A73C45">
              <w:rPr>
                <w:rFonts w:cs="Arial"/>
                <w:b/>
                <w:bCs/>
                <w:sz w:val="16"/>
                <w:szCs w:val="16"/>
                <w:lang w:val="en-CA"/>
              </w:rPr>
              <w:t>(+/- 5 days)</w:t>
            </w:r>
          </w:p>
        </w:tc>
        <w:tc>
          <w:tcPr>
            <w:tcW w:w="851" w:type="dxa"/>
            <w:vAlign w:val="center"/>
          </w:tcPr>
          <w:p w:rsidR="00EF354D" w:rsidRPr="00A73C45" w:rsidRDefault="00EF354D" w:rsidP="00856337">
            <w:pPr>
              <w:jc w:val="center"/>
              <w:rPr>
                <w:rFonts w:cs="Arial"/>
                <w:b/>
                <w:bCs/>
                <w:sz w:val="16"/>
                <w:szCs w:val="16"/>
                <w:lang w:val="en-CA"/>
              </w:rPr>
            </w:pPr>
            <w:r w:rsidRPr="00A73C45">
              <w:rPr>
                <w:rFonts w:cs="Arial"/>
                <w:b/>
                <w:bCs/>
                <w:sz w:val="16"/>
                <w:szCs w:val="16"/>
                <w:lang w:val="en-CA"/>
              </w:rPr>
              <w:t>Day 60</w:t>
            </w:r>
          </w:p>
          <w:p w:rsidR="00EA57AE" w:rsidRPr="00A73C45" w:rsidRDefault="00EA57AE" w:rsidP="00856337">
            <w:pPr>
              <w:jc w:val="center"/>
              <w:rPr>
                <w:rFonts w:cs="Arial"/>
                <w:b/>
                <w:bCs/>
                <w:sz w:val="16"/>
                <w:szCs w:val="16"/>
                <w:lang w:val="en-CA"/>
              </w:rPr>
            </w:pPr>
            <w:r w:rsidRPr="00A73C45">
              <w:rPr>
                <w:rFonts w:cs="Arial"/>
                <w:b/>
                <w:bCs/>
                <w:sz w:val="16"/>
                <w:szCs w:val="16"/>
                <w:lang w:val="en-CA"/>
              </w:rPr>
              <w:t>(+/- 5 days)</w:t>
            </w:r>
          </w:p>
        </w:tc>
        <w:tc>
          <w:tcPr>
            <w:tcW w:w="940" w:type="dxa"/>
            <w:vAlign w:val="center"/>
          </w:tcPr>
          <w:p w:rsidR="00EF354D" w:rsidRPr="00A73C45" w:rsidRDefault="00DD769D" w:rsidP="00856337">
            <w:pPr>
              <w:jc w:val="center"/>
              <w:rPr>
                <w:rFonts w:cs="Arial"/>
                <w:b/>
                <w:bCs/>
                <w:sz w:val="16"/>
                <w:szCs w:val="16"/>
                <w:lang w:val="en-CA"/>
              </w:rPr>
            </w:pPr>
            <w:r w:rsidRPr="00A73C45">
              <w:rPr>
                <w:rFonts w:cs="Arial"/>
                <w:b/>
                <w:bCs/>
                <w:sz w:val="16"/>
                <w:szCs w:val="16"/>
                <w:lang w:val="en-CA"/>
              </w:rPr>
              <w:t xml:space="preserve">Day </w:t>
            </w:r>
            <w:r w:rsidR="001819C4">
              <w:rPr>
                <w:rFonts w:cs="Arial"/>
                <w:b/>
                <w:bCs/>
                <w:sz w:val="16"/>
                <w:szCs w:val="16"/>
                <w:lang w:val="en-CA"/>
              </w:rPr>
              <w:t>240</w:t>
            </w:r>
          </w:p>
          <w:p w:rsidR="00EA57AE" w:rsidRPr="00A73C45" w:rsidRDefault="00EA57AE" w:rsidP="00856337">
            <w:pPr>
              <w:jc w:val="center"/>
              <w:rPr>
                <w:rFonts w:cs="Arial"/>
                <w:b/>
                <w:bCs/>
                <w:sz w:val="16"/>
                <w:szCs w:val="16"/>
                <w:lang w:val="en-CA"/>
              </w:rPr>
            </w:pPr>
            <w:r w:rsidRPr="00A73C45">
              <w:rPr>
                <w:rFonts w:cs="Arial"/>
                <w:b/>
                <w:bCs/>
                <w:sz w:val="16"/>
                <w:szCs w:val="16"/>
                <w:lang w:val="en-CA"/>
              </w:rPr>
              <w:t>(+/- 7 days)</w:t>
            </w:r>
          </w:p>
        </w:tc>
      </w:tr>
      <w:tr w:rsidR="00CC2A6B" w:rsidRPr="00A73C45" w:rsidTr="00856337">
        <w:tc>
          <w:tcPr>
            <w:tcW w:w="2093" w:type="dxa"/>
          </w:tcPr>
          <w:p w:rsidR="00CC2A6B" w:rsidRPr="00A73C45" w:rsidRDefault="00CC2A6B">
            <w:pPr>
              <w:rPr>
                <w:rFonts w:cs="Arial"/>
                <w:sz w:val="16"/>
                <w:szCs w:val="16"/>
                <w:lang w:val="en-CA"/>
              </w:rPr>
            </w:pPr>
            <w:r w:rsidRPr="00A73C45">
              <w:rPr>
                <w:rFonts w:cs="Arial"/>
                <w:sz w:val="16"/>
                <w:szCs w:val="16"/>
                <w:lang w:val="en-CA"/>
              </w:rPr>
              <w:t>Eligibility assessment</w:t>
            </w:r>
          </w:p>
        </w:tc>
        <w:tc>
          <w:tcPr>
            <w:tcW w:w="992" w:type="dxa"/>
            <w:vAlign w:val="center"/>
          </w:tcPr>
          <w:p w:rsidR="00CC2A6B" w:rsidRPr="00A73C45" w:rsidRDefault="00CC2A6B" w:rsidP="00856337">
            <w:pPr>
              <w:jc w:val="center"/>
              <w:rPr>
                <w:rFonts w:cs="Arial"/>
                <w:b/>
                <w:bCs/>
                <w:sz w:val="16"/>
                <w:szCs w:val="16"/>
                <w:lang w:val="en-CA"/>
              </w:rPr>
            </w:pPr>
            <w:r w:rsidRPr="00A73C45">
              <w:rPr>
                <w:rFonts w:cs="Arial"/>
                <w:b/>
                <w:bCs/>
                <w:sz w:val="16"/>
                <w:szCs w:val="16"/>
                <w:lang w:val="en-CA"/>
              </w:rPr>
              <w:t>X</w:t>
            </w:r>
          </w:p>
        </w:tc>
        <w:tc>
          <w:tcPr>
            <w:tcW w:w="875" w:type="dxa"/>
            <w:vAlign w:val="center"/>
          </w:tcPr>
          <w:p w:rsidR="00CC2A6B" w:rsidRPr="00A73C45" w:rsidRDefault="00CC2A6B" w:rsidP="00856337">
            <w:pPr>
              <w:jc w:val="center"/>
              <w:rPr>
                <w:rFonts w:cs="Arial"/>
                <w:b/>
                <w:bCs/>
                <w:sz w:val="16"/>
                <w:szCs w:val="16"/>
                <w:lang w:val="en-CA"/>
              </w:rPr>
            </w:pPr>
          </w:p>
        </w:tc>
        <w:tc>
          <w:tcPr>
            <w:tcW w:w="684" w:type="dxa"/>
            <w:vAlign w:val="center"/>
          </w:tcPr>
          <w:p w:rsidR="00CC2A6B" w:rsidRPr="00A73C45" w:rsidRDefault="00CC2A6B" w:rsidP="00856337">
            <w:pPr>
              <w:jc w:val="center"/>
              <w:rPr>
                <w:rFonts w:cs="Arial"/>
                <w:b/>
                <w:bCs/>
                <w:sz w:val="16"/>
                <w:szCs w:val="16"/>
                <w:lang w:val="en-CA"/>
              </w:rPr>
            </w:pPr>
          </w:p>
        </w:tc>
        <w:tc>
          <w:tcPr>
            <w:tcW w:w="709" w:type="dxa"/>
            <w:vAlign w:val="center"/>
          </w:tcPr>
          <w:p w:rsidR="00CC2A6B" w:rsidRPr="00A73C45" w:rsidRDefault="00CC2A6B" w:rsidP="00856337">
            <w:pPr>
              <w:jc w:val="center"/>
              <w:rPr>
                <w:rFonts w:cs="Arial"/>
                <w:b/>
                <w:bCs/>
                <w:sz w:val="16"/>
                <w:szCs w:val="16"/>
                <w:lang w:val="en-CA"/>
              </w:rPr>
            </w:pPr>
          </w:p>
        </w:tc>
        <w:tc>
          <w:tcPr>
            <w:tcW w:w="1276" w:type="dxa"/>
            <w:vAlign w:val="center"/>
          </w:tcPr>
          <w:p w:rsidR="00CC2A6B" w:rsidRPr="00A73C45" w:rsidRDefault="00CC2A6B" w:rsidP="00856337">
            <w:pPr>
              <w:jc w:val="center"/>
              <w:rPr>
                <w:rFonts w:cs="Arial"/>
                <w:b/>
                <w:bCs/>
                <w:sz w:val="16"/>
                <w:szCs w:val="16"/>
                <w:lang w:val="en-CA"/>
              </w:rPr>
            </w:pPr>
          </w:p>
        </w:tc>
        <w:tc>
          <w:tcPr>
            <w:tcW w:w="850" w:type="dxa"/>
            <w:vAlign w:val="center"/>
          </w:tcPr>
          <w:p w:rsidR="00CC2A6B" w:rsidRPr="00A73C45" w:rsidRDefault="00CC2A6B" w:rsidP="00856337">
            <w:pPr>
              <w:jc w:val="center"/>
              <w:rPr>
                <w:rFonts w:cs="Arial"/>
                <w:b/>
                <w:bCs/>
                <w:sz w:val="16"/>
                <w:szCs w:val="16"/>
                <w:lang w:val="en-CA"/>
              </w:rPr>
            </w:pPr>
          </w:p>
        </w:tc>
        <w:tc>
          <w:tcPr>
            <w:tcW w:w="851" w:type="dxa"/>
            <w:vAlign w:val="center"/>
          </w:tcPr>
          <w:p w:rsidR="00CC2A6B" w:rsidRPr="00A73C45" w:rsidRDefault="00CC2A6B" w:rsidP="00856337">
            <w:pPr>
              <w:jc w:val="center"/>
              <w:rPr>
                <w:rFonts w:cs="Arial"/>
                <w:b/>
                <w:bCs/>
                <w:sz w:val="16"/>
                <w:szCs w:val="16"/>
                <w:lang w:val="en-CA"/>
              </w:rPr>
            </w:pPr>
          </w:p>
        </w:tc>
        <w:tc>
          <w:tcPr>
            <w:tcW w:w="940" w:type="dxa"/>
            <w:vAlign w:val="center"/>
          </w:tcPr>
          <w:p w:rsidR="00CC2A6B" w:rsidRPr="00A73C45" w:rsidRDefault="00CC2A6B" w:rsidP="00856337">
            <w:pPr>
              <w:jc w:val="center"/>
              <w:rPr>
                <w:rFonts w:cs="Arial"/>
                <w:b/>
                <w:bCs/>
                <w:sz w:val="16"/>
                <w:szCs w:val="16"/>
                <w:lang w:val="en-CA"/>
              </w:rPr>
            </w:pPr>
          </w:p>
        </w:tc>
      </w:tr>
      <w:tr w:rsidR="00EF354D" w:rsidRPr="00A73C45" w:rsidTr="00856337">
        <w:tc>
          <w:tcPr>
            <w:tcW w:w="2093" w:type="dxa"/>
          </w:tcPr>
          <w:p w:rsidR="00EF354D" w:rsidRPr="00A73C45" w:rsidRDefault="00CC2A6B">
            <w:pPr>
              <w:rPr>
                <w:rFonts w:cs="Arial"/>
                <w:sz w:val="16"/>
                <w:szCs w:val="16"/>
                <w:lang w:val="en-CA"/>
              </w:rPr>
            </w:pPr>
            <w:r w:rsidRPr="00A73C45">
              <w:rPr>
                <w:rFonts w:cs="Arial"/>
                <w:sz w:val="16"/>
                <w:szCs w:val="16"/>
                <w:lang w:val="en-CA"/>
              </w:rPr>
              <w:t>Patient information sheet and informed consent</w:t>
            </w:r>
          </w:p>
        </w:tc>
        <w:tc>
          <w:tcPr>
            <w:tcW w:w="992" w:type="dxa"/>
            <w:vAlign w:val="center"/>
          </w:tcPr>
          <w:p w:rsidR="00EF354D" w:rsidRPr="00A73C45" w:rsidRDefault="00CC2A6B" w:rsidP="00856337">
            <w:pPr>
              <w:jc w:val="center"/>
              <w:rPr>
                <w:rFonts w:cs="Arial"/>
                <w:b/>
                <w:bCs/>
                <w:sz w:val="16"/>
                <w:szCs w:val="16"/>
                <w:lang w:val="en-CA"/>
              </w:rPr>
            </w:pPr>
            <w:r w:rsidRPr="00A73C45">
              <w:rPr>
                <w:rFonts w:cs="Arial"/>
                <w:b/>
                <w:bCs/>
                <w:sz w:val="16"/>
                <w:szCs w:val="16"/>
                <w:lang w:val="en-CA"/>
              </w:rPr>
              <w:t>X</w:t>
            </w:r>
          </w:p>
        </w:tc>
        <w:tc>
          <w:tcPr>
            <w:tcW w:w="875" w:type="dxa"/>
            <w:vAlign w:val="center"/>
          </w:tcPr>
          <w:p w:rsidR="00EF354D" w:rsidRPr="00A73C45" w:rsidRDefault="00EF354D" w:rsidP="00856337">
            <w:pPr>
              <w:jc w:val="center"/>
              <w:rPr>
                <w:rFonts w:cs="Arial"/>
                <w:b/>
                <w:bCs/>
                <w:sz w:val="16"/>
                <w:szCs w:val="16"/>
                <w:lang w:val="en-CA"/>
              </w:rPr>
            </w:pPr>
          </w:p>
        </w:tc>
        <w:tc>
          <w:tcPr>
            <w:tcW w:w="684" w:type="dxa"/>
            <w:vAlign w:val="center"/>
          </w:tcPr>
          <w:p w:rsidR="00EF354D" w:rsidRPr="00A73C45" w:rsidRDefault="00EF354D" w:rsidP="00856337">
            <w:pPr>
              <w:jc w:val="center"/>
              <w:rPr>
                <w:rFonts w:cs="Arial"/>
                <w:b/>
                <w:bCs/>
                <w:sz w:val="16"/>
                <w:szCs w:val="16"/>
                <w:lang w:val="en-CA"/>
              </w:rPr>
            </w:pPr>
          </w:p>
        </w:tc>
        <w:tc>
          <w:tcPr>
            <w:tcW w:w="709" w:type="dxa"/>
            <w:vAlign w:val="center"/>
          </w:tcPr>
          <w:p w:rsidR="00EF354D" w:rsidRPr="00A73C45" w:rsidRDefault="00EF354D" w:rsidP="00856337">
            <w:pPr>
              <w:jc w:val="center"/>
              <w:rPr>
                <w:rFonts w:cs="Arial"/>
                <w:b/>
                <w:bCs/>
                <w:sz w:val="16"/>
                <w:szCs w:val="16"/>
                <w:lang w:val="en-CA"/>
              </w:rPr>
            </w:pPr>
          </w:p>
        </w:tc>
        <w:tc>
          <w:tcPr>
            <w:tcW w:w="1276" w:type="dxa"/>
            <w:vAlign w:val="center"/>
          </w:tcPr>
          <w:p w:rsidR="00EF354D" w:rsidRPr="00A73C45" w:rsidRDefault="00EF354D" w:rsidP="00856337">
            <w:pPr>
              <w:jc w:val="center"/>
              <w:rPr>
                <w:rFonts w:cs="Arial"/>
                <w:b/>
                <w:bCs/>
                <w:sz w:val="16"/>
                <w:szCs w:val="16"/>
                <w:lang w:val="en-CA"/>
              </w:rPr>
            </w:pPr>
          </w:p>
        </w:tc>
        <w:tc>
          <w:tcPr>
            <w:tcW w:w="850" w:type="dxa"/>
            <w:vAlign w:val="center"/>
          </w:tcPr>
          <w:p w:rsidR="00EF354D" w:rsidRPr="00A73C45" w:rsidRDefault="00EF354D" w:rsidP="00856337">
            <w:pPr>
              <w:jc w:val="center"/>
              <w:rPr>
                <w:rFonts w:cs="Arial"/>
                <w:b/>
                <w:bCs/>
                <w:sz w:val="16"/>
                <w:szCs w:val="16"/>
                <w:lang w:val="en-CA"/>
              </w:rPr>
            </w:pPr>
          </w:p>
        </w:tc>
        <w:tc>
          <w:tcPr>
            <w:tcW w:w="851" w:type="dxa"/>
            <w:vAlign w:val="center"/>
          </w:tcPr>
          <w:p w:rsidR="00EF354D" w:rsidRPr="00A73C45" w:rsidRDefault="00EF354D" w:rsidP="00856337">
            <w:pPr>
              <w:jc w:val="center"/>
              <w:rPr>
                <w:rFonts w:cs="Arial"/>
                <w:b/>
                <w:bCs/>
                <w:sz w:val="16"/>
                <w:szCs w:val="16"/>
                <w:lang w:val="en-CA"/>
              </w:rPr>
            </w:pPr>
          </w:p>
        </w:tc>
        <w:tc>
          <w:tcPr>
            <w:tcW w:w="940" w:type="dxa"/>
            <w:vAlign w:val="center"/>
          </w:tcPr>
          <w:p w:rsidR="00EF354D" w:rsidRPr="00A73C45" w:rsidRDefault="00EF354D" w:rsidP="00856337">
            <w:pPr>
              <w:jc w:val="center"/>
              <w:rPr>
                <w:rFonts w:cs="Arial"/>
                <w:b/>
                <w:bCs/>
                <w:sz w:val="16"/>
                <w:szCs w:val="16"/>
                <w:lang w:val="en-CA"/>
              </w:rPr>
            </w:pPr>
          </w:p>
        </w:tc>
      </w:tr>
      <w:tr w:rsidR="00EF354D" w:rsidRPr="00A73C45" w:rsidTr="00856337">
        <w:tc>
          <w:tcPr>
            <w:tcW w:w="2093" w:type="dxa"/>
          </w:tcPr>
          <w:p w:rsidR="00EF354D" w:rsidRPr="00A73C45" w:rsidRDefault="00CC2A6B">
            <w:pPr>
              <w:rPr>
                <w:rFonts w:cs="Arial"/>
                <w:sz w:val="16"/>
                <w:szCs w:val="16"/>
                <w:lang w:val="en-CA"/>
              </w:rPr>
            </w:pPr>
            <w:r w:rsidRPr="00A73C45">
              <w:rPr>
                <w:rFonts w:cs="Arial"/>
                <w:sz w:val="16"/>
                <w:szCs w:val="16"/>
                <w:lang w:val="en-CA"/>
              </w:rPr>
              <w:t>Randomisation</w:t>
            </w:r>
          </w:p>
        </w:tc>
        <w:tc>
          <w:tcPr>
            <w:tcW w:w="992" w:type="dxa"/>
            <w:vAlign w:val="center"/>
          </w:tcPr>
          <w:p w:rsidR="00EF354D" w:rsidRPr="00A73C45" w:rsidRDefault="00EF354D" w:rsidP="00856337">
            <w:pPr>
              <w:jc w:val="center"/>
              <w:rPr>
                <w:rFonts w:cs="Arial"/>
                <w:b/>
                <w:bCs/>
                <w:sz w:val="16"/>
                <w:szCs w:val="16"/>
                <w:lang w:val="en-CA"/>
              </w:rPr>
            </w:pPr>
          </w:p>
        </w:tc>
        <w:tc>
          <w:tcPr>
            <w:tcW w:w="875" w:type="dxa"/>
            <w:vAlign w:val="center"/>
          </w:tcPr>
          <w:p w:rsidR="00EF354D" w:rsidRPr="00A73C45" w:rsidRDefault="00CC2A6B" w:rsidP="00856337">
            <w:pPr>
              <w:jc w:val="center"/>
              <w:rPr>
                <w:rFonts w:cs="Arial"/>
                <w:b/>
                <w:bCs/>
                <w:sz w:val="16"/>
                <w:szCs w:val="16"/>
                <w:lang w:val="en-CA"/>
              </w:rPr>
            </w:pPr>
            <w:r w:rsidRPr="00A73C45">
              <w:rPr>
                <w:rFonts w:cs="Arial"/>
                <w:b/>
                <w:bCs/>
                <w:sz w:val="16"/>
                <w:szCs w:val="16"/>
                <w:lang w:val="en-CA"/>
              </w:rPr>
              <w:t>X</w:t>
            </w:r>
          </w:p>
        </w:tc>
        <w:tc>
          <w:tcPr>
            <w:tcW w:w="684" w:type="dxa"/>
            <w:vAlign w:val="center"/>
          </w:tcPr>
          <w:p w:rsidR="00EF354D" w:rsidRPr="00A73C45" w:rsidRDefault="00EF354D" w:rsidP="00856337">
            <w:pPr>
              <w:jc w:val="center"/>
              <w:rPr>
                <w:rFonts w:cs="Arial"/>
                <w:b/>
                <w:bCs/>
                <w:sz w:val="16"/>
                <w:szCs w:val="16"/>
                <w:lang w:val="en-CA"/>
              </w:rPr>
            </w:pPr>
          </w:p>
        </w:tc>
        <w:tc>
          <w:tcPr>
            <w:tcW w:w="709" w:type="dxa"/>
            <w:vAlign w:val="center"/>
          </w:tcPr>
          <w:p w:rsidR="00EF354D" w:rsidRPr="00A73C45" w:rsidRDefault="00EF354D" w:rsidP="00856337">
            <w:pPr>
              <w:jc w:val="center"/>
              <w:rPr>
                <w:rFonts w:cs="Arial"/>
                <w:b/>
                <w:bCs/>
                <w:sz w:val="16"/>
                <w:szCs w:val="16"/>
                <w:lang w:val="en-CA"/>
              </w:rPr>
            </w:pPr>
          </w:p>
        </w:tc>
        <w:tc>
          <w:tcPr>
            <w:tcW w:w="1276" w:type="dxa"/>
            <w:vAlign w:val="center"/>
          </w:tcPr>
          <w:p w:rsidR="00EF354D" w:rsidRPr="00A73C45" w:rsidRDefault="00EF354D" w:rsidP="00856337">
            <w:pPr>
              <w:jc w:val="center"/>
              <w:rPr>
                <w:rFonts w:cs="Arial"/>
                <w:b/>
                <w:bCs/>
                <w:sz w:val="16"/>
                <w:szCs w:val="16"/>
                <w:lang w:val="en-CA"/>
              </w:rPr>
            </w:pPr>
          </w:p>
        </w:tc>
        <w:tc>
          <w:tcPr>
            <w:tcW w:w="850" w:type="dxa"/>
            <w:vAlign w:val="center"/>
          </w:tcPr>
          <w:p w:rsidR="00EF354D" w:rsidRPr="00A73C45" w:rsidRDefault="00EF354D" w:rsidP="00856337">
            <w:pPr>
              <w:jc w:val="center"/>
              <w:rPr>
                <w:rFonts w:cs="Arial"/>
                <w:b/>
                <w:bCs/>
                <w:sz w:val="16"/>
                <w:szCs w:val="16"/>
                <w:lang w:val="en-CA"/>
              </w:rPr>
            </w:pPr>
          </w:p>
        </w:tc>
        <w:tc>
          <w:tcPr>
            <w:tcW w:w="851" w:type="dxa"/>
            <w:vAlign w:val="center"/>
          </w:tcPr>
          <w:p w:rsidR="00EF354D" w:rsidRPr="00A73C45" w:rsidRDefault="00EF354D" w:rsidP="00856337">
            <w:pPr>
              <w:jc w:val="center"/>
              <w:rPr>
                <w:rFonts w:cs="Arial"/>
                <w:b/>
                <w:bCs/>
                <w:sz w:val="16"/>
                <w:szCs w:val="16"/>
                <w:lang w:val="en-CA"/>
              </w:rPr>
            </w:pPr>
          </w:p>
        </w:tc>
        <w:tc>
          <w:tcPr>
            <w:tcW w:w="940" w:type="dxa"/>
            <w:vAlign w:val="center"/>
          </w:tcPr>
          <w:p w:rsidR="00EF354D" w:rsidRPr="00A73C45" w:rsidRDefault="00EF354D" w:rsidP="00856337">
            <w:pPr>
              <w:jc w:val="center"/>
              <w:rPr>
                <w:rFonts w:cs="Arial"/>
                <w:b/>
                <w:bCs/>
                <w:sz w:val="16"/>
                <w:szCs w:val="16"/>
                <w:lang w:val="en-CA"/>
              </w:rPr>
            </w:pPr>
          </w:p>
        </w:tc>
      </w:tr>
      <w:tr w:rsidR="00EF354D" w:rsidRPr="00A73C45" w:rsidTr="00856337">
        <w:tc>
          <w:tcPr>
            <w:tcW w:w="2093" w:type="dxa"/>
          </w:tcPr>
          <w:p w:rsidR="00EF354D" w:rsidRPr="00A73C45" w:rsidRDefault="00CC2A6B">
            <w:pPr>
              <w:rPr>
                <w:rFonts w:cs="Arial"/>
                <w:sz w:val="16"/>
                <w:szCs w:val="16"/>
                <w:lang w:val="en-CA"/>
              </w:rPr>
            </w:pPr>
            <w:r w:rsidRPr="00A73C45">
              <w:rPr>
                <w:rFonts w:cs="Arial"/>
                <w:sz w:val="16"/>
                <w:szCs w:val="16"/>
                <w:lang w:val="en-CA"/>
              </w:rPr>
              <w:t>Clinical assessment</w:t>
            </w:r>
            <w:r w:rsidR="00975583" w:rsidRPr="00A73C45">
              <w:rPr>
                <w:rFonts w:cs="Arial"/>
                <w:b/>
                <w:sz w:val="16"/>
                <w:szCs w:val="16"/>
                <w:vertAlign w:val="superscript"/>
                <w:lang w:val="en-CA"/>
              </w:rPr>
              <w:t>(a)</w:t>
            </w:r>
          </w:p>
        </w:tc>
        <w:tc>
          <w:tcPr>
            <w:tcW w:w="992" w:type="dxa"/>
            <w:vAlign w:val="center"/>
          </w:tcPr>
          <w:p w:rsidR="00EF354D" w:rsidRPr="00A73C45" w:rsidRDefault="00EF354D" w:rsidP="00856337">
            <w:pPr>
              <w:jc w:val="center"/>
              <w:rPr>
                <w:rFonts w:cs="Arial"/>
                <w:b/>
                <w:bCs/>
                <w:sz w:val="16"/>
                <w:szCs w:val="16"/>
                <w:lang w:val="en-CA"/>
              </w:rPr>
            </w:pPr>
          </w:p>
        </w:tc>
        <w:tc>
          <w:tcPr>
            <w:tcW w:w="875" w:type="dxa"/>
            <w:vAlign w:val="center"/>
          </w:tcPr>
          <w:p w:rsidR="00EF354D"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684" w:type="dxa"/>
            <w:vAlign w:val="center"/>
          </w:tcPr>
          <w:p w:rsidR="00EF354D" w:rsidRPr="00A73C45" w:rsidRDefault="00EF354D" w:rsidP="00856337">
            <w:pPr>
              <w:jc w:val="center"/>
              <w:rPr>
                <w:rFonts w:cs="Arial"/>
                <w:b/>
                <w:bCs/>
                <w:sz w:val="16"/>
                <w:szCs w:val="16"/>
                <w:lang w:val="en-CA"/>
              </w:rPr>
            </w:pPr>
          </w:p>
        </w:tc>
        <w:tc>
          <w:tcPr>
            <w:tcW w:w="709" w:type="dxa"/>
            <w:vAlign w:val="center"/>
          </w:tcPr>
          <w:p w:rsidR="00EF354D"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1276" w:type="dxa"/>
            <w:vAlign w:val="center"/>
          </w:tcPr>
          <w:p w:rsidR="00EF354D"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850" w:type="dxa"/>
            <w:vAlign w:val="center"/>
          </w:tcPr>
          <w:p w:rsidR="00EF354D"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851" w:type="dxa"/>
            <w:vAlign w:val="center"/>
          </w:tcPr>
          <w:p w:rsidR="00EF354D"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940" w:type="dxa"/>
            <w:vAlign w:val="center"/>
          </w:tcPr>
          <w:p w:rsidR="00EF354D" w:rsidRPr="00A73C45" w:rsidRDefault="00CC2A6B" w:rsidP="00856337">
            <w:pPr>
              <w:jc w:val="center"/>
              <w:rPr>
                <w:rFonts w:cs="Arial"/>
                <w:b/>
                <w:bCs/>
                <w:sz w:val="16"/>
                <w:szCs w:val="16"/>
                <w:lang w:val="en-CA"/>
              </w:rPr>
            </w:pPr>
            <w:r w:rsidRPr="00A73C45">
              <w:rPr>
                <w:rFonts w:cs="Arial"/>
                <w:b/>
                <w:bCs/>
                <w:sz w:val="16"/>
                <w:szCs w:val="16"/>
                <w:lang w:val="en-CA"/>
              </w:rPr>
              <w:t>X</w:t>
            </w:r>
          </w:p>
        </w:tc>
      </w:tr>
      <w:tr w:rsidR="00EF354D" w:rsidRPr="00A73C45" w:rsidTr="00856337">
        <w:tc>
          <w:tcPr>
            <w:tcW w:w="2093" w:type="dxa"/>
          </w:tcPr>
          <w:p w:rsidR="00EF354D" w:rsidRPr="00A73C45" w:rsidRDefault="00CC2A6B">
            <w:pPr>
              <w:rPr>
                <w:rFonts w:cs="Arial"/>
                <w:sz w:val="16"/>
                <w:szCs w:val="16"/>
                <w:lang w:val="en-CA"/>
              </w:rPr>
            </w:pPr>
            <w:r w:rsidRPr="00A73C45">
              <w:rPr>
                <w:rFonts w:cs="Arial"/>
                <w:sz w:val="16"/>
                <w:szCs w:val="16"/>
                <w:lang w:val="en-CA"/>
              </w:rPr>
              <w:t>Lumbar puncture</w:t>
            </w:r>
            <w:r w:rsidR="00975583" w:rsidRPr="00A73C45">
              <w:rPr>
                <w:rFonts w:cs="Arial"/>
                <w:b/>
                <w:sz w:val="16"/>
                <w:szCs w:val="16"/>
                <w:vertAlign w:val="superscript"/>
                <w:lang w:val="en-CA"/>
              </w:rPr>
              <w:t>(b)</w:t>
            </w:r>
          </w:p>
        </w:tc>
        <w:tc>
          <w:tcPr>
            <w:tcW w:w="992" w:type="dxa"/>
            <w:vAlign w:val="center"/>
          </w:tcPr>
          <w:p w:rsidR="00EF354D" w:rsidRPr="00A73C45" w:rsidRDefault="00CC2A6B" w:rsidP="00856337">
            <w:pPr>
              <w:jc w:val="center"/>
              <w:rPr>
                <w:rFonts w:cs="Arial"/>
                <w:b/>
                <w:bCs/>
                <w:sz w:val="16"/>
                <w:szCs w:val="16"/>
                <w:lang w:val="en-CA"/>
              </w:rPr>
            </w:pPr>
            <w:r w:rsidRPr="00A73C45">
              <w:rPr>
                <w:rFonts w:cs="Arial"/>
                <w:b/>
                <w:bCs/>
                <w:sz w:val="16"/>
                <w:szCs w:val="16"/>
                <w:lang w:val="en-CA"/>
              </w:rPr>
              <w:t>(X)</w:t>
            </w:r>
          </w:p>
        </w:tc>
        <w:tc>
          <w:tcPr>
            <w:tcW w:w="875" w:type="dxa"/>
            <w:vAlign w:val="center"/>
          </w:tcPr>
          <w:p w:rsidR="00EF354D" w:rsidRPr="00A73C45" w:rsidRDefault="00EF354D" w:rsidP="00856337">
            <w:pPr>
              <w:jc w:val="center"/>
              <w:rPr>
                <w:rFonts w:cs="Arial"/>
                <w:b/>
                <w:bCs/>
                <w:sz w:val="16"/>
                <w:szCs w:val="16"/>
                <w:lang w:val="en-CA"/>
              </w:rPr>
            </w:pPr>
          </w:p>
        </w:tc>
        <w:tc>
          <w:tcPr>
            <w:tcW w:w="684" w:type="dxa"/>
            <w:vAlign w:val="center"/>
          </w:tcPr>
          <w:p w:rsidR="00EF354D" w:rsidRPr="00A73C45" w:rsidRDefault="00EF354D" w:rsidP="00856337">
            <w:pPr>
              <w:jc w:val="center"/>
              <w:rPr>
                <w:rFonts w:cs="Arial"/>
                <w:b/>
                <w:bCs/>
                <w:sz w:val="16"/>
                <w:szCs w:val="16"/>
                <w:lang w:val="en-CA"/>
              </w:rPr>
            </w:pPr>
          </w:p>
        </w:tc>
        <w:tc>
          <w:tcPr>
            <w:tcW w:w="709" w:type="dxa"/>
            <w:vAlign w:val="center"/>
          </w:tcPr>
          <w:p w:rsidR="00EF354D" w:rsidRPr="00A73C45" w:rsidRDefault="00EF354D" w:rsidP="00856337">
            <w:pPr>
              <w:jc w:val="center"/>
              <w:rPr>
                <w:rFonts w:cs="Arial"/>
                <w:b/>
                <w:bCs/>
                <w:sz w:val="16"/>
                <w:szCs w:val="16"/>
                <w:lang w:val="en-CA"/>
              </w:rPr>
            </w:pPr>
          </w:p>
        </w:tc>
        <w:tc>
          <w:tcPr>
            <w:tcW w:w="1276" w:type="dxa"/>
            <w:vAlign w:val="center"/>
          </w:tcPr>
          <w:p w:rsidR="00EF354D" w:rsidRPr="00A73C45" w:rsidRDefault="00EF354D" w:rsidP="00856337">
            <w:pPr>
              <w:jc w:val="center"/>
              <w:rPr>
                <w:rFonts w:cs="Arial"/>
                <w:b/>
                <w:bCs/>
                <w:sz w:val="16"/>
                <w:szCs w:val="16"/>
                <w:lang w:val="en-CA"/>
              </w:rPr>
            </w:pPr>
          </w:p>
        </w:tc>
        <w:tc>
          <w:tcPr>
            <w:tcW w:w="850" w:type="dxa"/>
            <w:vAlign w:val="center"/>
          </w:tcPr>
          <w:p w:rsidR="00EF354D"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851" w:type="dxa"/>
            <w:vAlign w:val="center"/>
          </w:tcPr>
          <w:p w:rsidR="00B5645F" w:rsidRPr="00A73C45" w:rsidRDefault="004F79B2" w:rsidP="00856337">
            <w:pPr>
              <w:jc w:val="center"/>
              <w:rPr>
                <w:rFonts w:cs="Arial"/>
                <w:b/>
                <w:bCs/>
                <w:sz w:val="16"/>
                <w:szCs w:val="16"/>
                <w:lang w:val="en-CA"/>
              </w:rPr>
            </w:pPr>
            <w:r>
              <w:rPr>
                <w:rFonts w:cs="Arial"/>
                <w:b/>
                <w:bCs/>
                <w:sz w:val="16"/>
                <w:szCs w:val="16"/>
                <w:lang w:val="en-CA"/>
              </w:rPr>
              <w:t>(</w:t>
            </w:r>
            <w:r w:rsidR="00CC2A6B" w:rsidRPr="00A73C45">
              <w:rPr>
                <w:rFonts w:cs="Arial"/>
                <w:b/>
                <w:bCs/>
                <w:sz w:val="16"/>
                <w:szCs w:val="16"/>
                <w:lang w:val="en-CA"/>
              </w:rPr>
              <w:t>X</w:t>
            </w:r>
            <w:r>
              <w:rPr>
                <w:rFonts w:cs="Arial"/>
                <w:b/>
                <w:bCs/>
                <w:sz w:val="16"/>
                <w:szCs w:val="16"/>
                <w:lang w:val="en-CA"/>
              </w:rPr>
              <w:t>)</w:t>
            </w:r>
          </w:p>
        </w:tc>
        <w:tc>
          <w:tcPr>
            <w:tcW w:w="940" w:type="dxa"/>
            <w:vAlign w:val="center"/>
          </w:tcPr>
          <w:p w:rsidR="00EF354D" w:rsidRPr="00A73C45" w:rsidRDefault="00EF354D" w:rsidP="00856337">
            <w:pPr>
              <w:jc w:val="center"/>
              <w:rPr>
                <w:rFonts w:cs="Arial"/>
                <w:b/>
                <w:bCs/>
                <w:sz w:val="16"/>
                <w:szCs w:val="16"/>
                <w:lang w:val="en-CA"/>
              </w:rPr>
            </w:pPr>
          </w:p>
        </w:tc>
      </w:tr>
      <w:tr w:rsidR="00EF354D" w:rsidRPr="00A73C45" w:rsidTr="00856337">
        <w:tc>
          <w:tcPr>
            <w:tcW w:w="2093" w:type="dxa"/>
          </w:tcPr>
          <w:p w:rsidR="00CC2A6B" w:rsidRPr="005A3B0C" w:rsidRDefault="00CC2A6B">
            <w:pPr>
              <w:rPr>
                <w:rFonts w:cs="Arial"/>
                <w:sz w:val="16"/>
                <w:szCs w:val="16"/>
                <w:lang w:val="en-CA"/>
              </w:rPr>
            </w:pPr>
            <w:r w:rsidRPr="005A3B0C">
              <w:rPr>
                <w:rFonts w:cs="Arial"/>
                <w:sz w:val="16"/>
                <w:szCs w:val="16"/>
                <w:lang w:val="en-CA"/>
              </w:rPr>
              <w:t>EDTA blood (5mls)</w:t>
            </w:r>
            <w:r w:rsidR="009C4212" w:rsidRPr="005A3B0C">
              <w:rPr>
                <w:rFonts w:cs="Arial"/>
                <w:sz w:val="16"/>
                <w:szCs w:val="16"/>
                <w:vertAlign w:val="superscript"/>
                <w:lang w:val="en-CA"/>
              </w:rPr>
              <w:t>(c)</w:t>
            </w:r>
          </w:p>
        </w:tc>
        <w:tc>
          <w:tcPr>
            <w:tcW w:w="992" w:type="dxa"/>
            <w:vAlign w:val="center"/>
          </w:tcPr>
          <w:p w:rsidR="00EF354D" w:rsidRPr="005A3B0C" w:rsidRDefault="00EF354D" w:rsidP="00856337">
            <w:pPr>
              <w:jc w:val="center"/>
              <w:rPr>
                <w:rFonts w:cs="Arial"/>
                <w:b/>
                <w:bCs/>
                <w:sz w:val="16"/>
                <w:szCs w:val="16"/>
                <w:lang w:val="en-CA"/>
              </w:rPr>
            </w:pPr>
          </w:p>
        </w:tc>
        <w:tc>
          <w:tcPr>
            <w:tcW w:w="875" w:type="dxa"/>
            <w:vAlign w:val="center"/>
          </w:tcPr>
          <w:p w:rsidR="00EF354D" w:rsidRPr="005A3B0C" w:rsidRDefault="00CC2A6B" w:rsidP="00856337">
            <w:pPr>
              <w:jc w:val="center"/>
              <w:rPr>
                <w:rFonts w:cs="Arial"/>
                <w:b/>
                <w:bCs/>
                <w:sz w:val="16"/>
                <w:szCs w:val="16"/>
                <w:lang w:val="en-CA"/>
              </w:rPr>
            </w:pPr>
            <w:r w:rsidRPr="005A3B0C">
              <w:rPr>
                <w:rFonts w:cs="Arial"/>
                <w:b/>
                <w:bCs/>
                <w:sz w:val="16"/>
                <w:szCs w:val="16"/>
                <w:lang w:val="en-CA"/>
              </w:rPr>
              <w:t>X</w:t>
            </w:r>
          </w:p>
        </w:tc>
        <w:tc>
          <w:tcPr>
            <w:tcW w:w="684" w:type="dxa"/>
            <w:vAlign w:val="center"/>
          </w:tcPr>
          <w:p w:rsidR="00EF354D" w:rsidRPr="005A3B0C" w:rsidRDefault="00EF354D" w:rsidP="00856337">
            <w:pPr>
              <w:jc w:val="center"/>
              <w:rPr>
                <w:rFonts w:cs="Arial"/>
                <w:b/>
                <w:bCs/>
                <w:sz w:val="16"/>
                <w:szCs w:val="16"/>
                <w:lang w:val="en-CA"/>
              </w:rPr>
            </w:pPr>
          </w:p>
        </w:tc>
        <w:tc>
          <w:tcPr>
            <w:tcW w:w="709" w:type="dxa"/>
            <w:vAlign w:val="center"/>
          </w:tcPr>
          <w:p w:rsidR="00EF354D" w:rsidRPr="005A3B0C" w:rsidRDefault="00EF354D" w:rsidP="00856337">
            <w:pPr>
              <w:jc w:val="center"/>
              <w:rPr>
                <w:rFonts w:cs="Arial"/>
                <w:b/>
                <w:bCs/>
                <w:sz w:val="16"/>
                <w:szCs w:val="16"/>
                <w:lang w:val="en-CA"/>
              </w:rPr>
            </w:pPr>
          </w:p>
        </w:tc>
        <w:tc>
          <w:tcPr>
            <w:tcW w:w="1276" w:type="dxa"/>
            <w:vAlign w:val="center"/>
          </w:tcPr>
          <w:p w:rsidR="00EF354D" w:rsidRPr="005A3B0C" w:rsidRDefault="00EF354D" w:rsidP="00856337">
            <w:pPr>
              <w:jc w:val="center"/>
              <w:rPr>
                <w:rFonts w:cs="Arial"/>
                <w:b/>
                <w:bCs/>
                <w:sz w:val="16"/>
                <w:szCs w:val="16"/>
                <w:lang w:val="en-CA"/>
              </w:rPr>
            </w:pPr>
          </w:p>
        </w:tc>
        <w:tc>
          <w:tcPr>
            <w:tcW w:w="850" w:type="dxa"/>
            <w:vAlign w:val="center"/>
          </w:tcPr>
          <w:p w:rsidR="00EF354D" w:rsidRPr="005A3B0C" w:rsidRDefault="00EF354D" w:rsidP="00856337">
            <w:pPr>
              <w:jc w:val="center"/>
              <w:rPr>
                <w:rFonts w:cs="Arial"/>
                <w:b/>
                <w:bCs/>
                <w:sz w:val="16"/>
                <w:szCs w:val="16"/>
                <w:lang w:val="en-CA"/>
              </w:rPr>
            </w:pPr>
          </w:p>
        </w:tc>
        <w:tc>
          <w:tcPr>
            <w:tcW w:w="851" w:type="dxa"/>
            <w:vAlign w:val="center"/>
          </w:tcPr>
          <w:p w:rsidR="00EF354D" w:rsidRPr="005A3B0C" w:rsidRDefault="00EF354D" w:rsidP="00856337">
            <w:pPr>
              <w:jc w:val="center"/>
              <w:rPr>
                <w:rFonts w:cs="Arial"/>
                <w:b/>
                <w:bCs/>
                <w:sz w:val="16"/>
                <w:szCs w:val="16"/>
                <w:lang w:val="en-CA"/>
              </w:rPr>
            </w:pPr>
          </w:p>
        </w:tc>
        <w:tc>
          <w:tcPr>
            <w:tcW w:w="940" w:type="dxa"/>
            <w:vAlign w:val="center"/>
          </w:tcPr>
          <w:p w:rsidR="00EF354D" w:rsidRPr="005A3B0C" w:rsidRDefault="00EF354D" w:rsidP="00856337">
            <w:pPr>
              <w:jc w:val="center"/>
              <w:rPr>
                <w:rFonts w:cs="Arial"/>
                <w:b/>
                <w:bCs/>
                <w:sz w:val="16"/>
                <w:szCs w:val="16"/>
                <w:lang w:val="en-CA"/>
              </w:rPr>
            </w:pPr>
          </w:p>
        </w:tc>
      </w:tr>
      <w:tr w:rsidR="00CE317F" w:rsidRPr="00A73C45" w:rsidTr="00856337">
        <w:tc>
          <w:tcPr>
            <w:tcW w:w="2093" w:type="dxa"/>
          </w:tcPr>
          <w:p w:rsidR="00CE317F" w:rsidRPr="005A3B0C" w:rsidRDefault="00CE317F">
            <w:pPr>
              <w:rPr>
                <w:rFonts w:cs="Arial"/>
                <w:sz w:val="16"/>
                <w:szCs w:val="16"/>
                <w:lang w:val="en-CA"/>
              </w:rPr>
            </w:pPr>
            <w:r w:rsidRPr="005A3B0C">
              <w:rPr>
                <w:rFonts w:cs="Arial"/>
                <w:sz w:val="16"/>
                <w:szCs w:val="16"/>
                <w:lang w:val="en-CA"/>
              </w:rPr>
              <w:t xml:space="preserve">Heparinised blood (20mls) </w:t>
            </w:r>
            <w:r w:rsidRPr="005A3B0C">
              <w:rPr>
                <w:rFonts w:cs="Arial"/>
                <w:sz w:val="16"/>
                <w:szCs w:val="16"/>
                <w:vertAlign w:val="superscript"/>
                <w:lang w:val="en-CA"/>
              </w:rPr>
              <w:t>(d)</w:t>
            </w:r>
          </w:p>
        </w:tc>
        <w:tc>
          <w:tcPr>
            <w:tcW w:w="992" w:type="dxa"/>
            <w:vAlign w:val="center"/>
          </w:tcPr>
          <w:p w:rsidR="00CE317F" w:rsidRPr="005A3B0C" w:rsidRDefault="00CE317F" w:rsidP="00856337">
            <w:pPr>
              <w:jc w:val="center"/>
              <w:rPr>
                <w:rFonts w:cs="Arial"/>
                <w:b/>
                <w:bCs/>
                <w:sz w:val="16"/>
                <w:szCs w:val="16"/>
                <w:lang w:val="en-CA"/>
              </w:rPr>
            </w:pPr>
          </w:p>
        </w:tc>
        <w:tc>
          <w:tcPr>
            <w:tcW w:w="875" w:type="dxa"/>
            <w:vAlign w:val="center"/>
          </w:tcPr>
          <w:p w:rsidR="00CE317F" w:rsidRPr="005A3B0C" w:rsidRDefault="00856337" w:rsidP="00856337">
            <w:pPr>
              <w:jc w:val="center"/>
              <w:rPr>
                <w:rFonts w:cs="Arial"/>
                <w:b/>
                <w:bCs/>
                <w:sz w:val="16"/>
                <w:szCs w:val="16"/>
                <w:lang w:val="en-CA"/>
              </w:rPr>
            </w:pPr>
            <w:r w:rsidRPr="005A3B0C">
              <w:rPr>
                <w:rFonts w:cs="Arial"/>
                <w:b/>
                <w:bCs/>
                <w:sz w:val="16"/>
                <w:szCs w:val="16"/>
                <w:lang w:val="en-CA"/>
              </w:rPr>
              <w:t>X</w:t>
            </w:r>
          </w:p>
        </w:tc>
        <w:tc>
          <w:tcPr>
            <w:tcW w:w="684" w:type="dxa"/>
            <w:vAlign w:val="center"/>
          </w:tcPr>
          <w:p w:rsidR="00CE317F" w:rsidRPr="005A3B0C" w:rsidRDefault="00CE317F" w:rsidP="00856337">
            <w:pPr>
              <w:jc w:val="center"/>
              <w:rPr>
                <w:rFonts w:cs="Arial"/>
                <w:b/>
                <w:bCs/>
                <w:sz w:val="16"/>
                <w:szCs w:val="16"/>
                <w:lang w:val="en-CA"/>
              </w:rPr>
            </w:pPr>
          </w:p>
        </w:tc>
        <w:tc>
          <w:tcPr>
            <w:tcW w:w="709" w:type="dxa"/>
            <w:vAlign w:val="center"/>
          </w:tcPr>
          <w:p w:rsidR="00CE317F" w:rsidRPr="005A3B0C" w:rsidRDefault="00CE317F" w:rsidP="00856337">
            <w:pPr>
              <w:jc w:val="center"/>
              <w:rPr>
                <w:rFonts w:cs="Arial"/>
                <w:b/>
                <w:bCs/>
                <w:sz w:val="16"/>
                <w:szCs w:val="16"/>
                <w:lang w:val="en-CA"/>
              </w:rPr>
            </w:pPr>
          </w:p>
        </w:tc>
        <w:tc>
          <w:tcPr>
            <w:tcW w:w="1276" w:type="dxa"/>
            <w:vAlign w:val="center"/>
          </w:tcPr>
          <w:p w:rsidR="00CE317F" w:rsidRPr="005A3B0C" w:rsidRDefault="00CE317F" w:rsidP="00856337">
            <w:pPr>
              <w:jc w:val="center"/>
              <w:rPr>
                <w:rFonts w:cs="Arial"/>
                <w:b/>
                <w:bCs/>
                <w:sz w:val="16"/>
                <w:szCs w:val="16"/>
                <w:lang w:val="en-CA"/>
              </w:rPr>
            </w:pPr>
          </w:p>
        </w:tc>
        <w:tc>
          <w:tcPr>
            <w:tcW w:w="850" w:type="dxa"/>
            <w:vAlign w:val="center"/>
          </w:tcPr>
          <w:p w:rsidR="00CE317F" w:rsidRPr="005A3B0C" w:rsidRDefault="00CE317F" w:rsidP="00856337">
            <w:pPr>
              <w:jc w:val="center"/>
              <w:rPr>
                <w:rFonts w:cs="Arial"/>
                <w:b/>
                <w:bCs/>
                <w:sz w:val="16"/>
                <w:szCs w:val="16"/>
                <w:lang w:val="en-CA"/>
              </w:rPr>
            </w:pPr>
          </w:p>
        </w:tc>
        <w:tc>
          <w:tcPr>
            <w:tcW w:w="851" w:type="dxa"/>
            <w:vAlign w:val="center"/>
          </w:tcPr>
          <w:p w:rsidR="00CE317F" w:rsidRPr="005A3B0C" w:rsidRDefault="00CE317F" w:rsidP="00856337">
            <w:pPr>
              <w:jc w:val="center"/>
              <w:rPr>
                <w:rFonts w:cs="Arial"/>
                <w:b/>
                <w:bCs/>
                <w:sz w:val="16"/>
                <w:szCs w:val="16"/>
                <w:lang w:val="en-CA"/>
              </w:rPr>
            </w:pPr>
          </w:p>
        </w:tc>
        <w:tc>
          <w:tcPr>
            <w:tcW w:w="940" w:type="dxa"/>
            <w:vAlign w:val="center"/>
          </w:tcPr>
          <w:p w:rsidR="00CE317F" w:rsidRPr="005A3B0C" w:rsidRDefault="000919AD" w:rsidP="00856337">
            <w:pPr>
              <w:jc w:val="center"/>
              <w:rPr>
                <w:rFonts w:cs="Arial"/>
                <w:b/>
                <w:bCs/>
                <w:sz w:val="16"/>
                <w:szCs w:val="16"/>
                <w:lang w:val="en-CA"/>
              </w:rPr>
            </w:pPr>
            <w:r>
              <w:rPr>
                <w:rFonts w:cs="Arial"/>
                <w:b/>
                <w:bCs/>
                <w:sz w:val="16"/>
                <w:szCs w:val="16"/>
                <w:lang w:val="en-CA"/>
              </w:rPr>
              <w:t>X</w:t>
            </w:r>
          </w:p>
        </w:tc>
      </w:tr>
      <w:tr w:rsidR="004F79B2" w:rsidRPr="00A73C45" w:rsidTr="004F79B2">
        <w:tc>
          <w:tcPr>
            <w:tcW w:w="2093" w:type="dxa"/>
          </w:tcPr>
          <w:p w:rsidR="004F79B2" w:rsidRPr="005A3B0C" w:rsidRDefault="00BE7849">
            <w:pPr>
              <w:rPr>
                <w:rFonts w:cs="Arial"/>
                <w:sz w:val="16"/>
                <w:szCs w:val="16"/>
                <w:lang w:val="en-CA"/>
              </w:rPr>
            </w:pPr>
            <w:r w:rsidRPr="005A3B0C">
              <w:rPr>
                <w:rFonts w:cs="Arial"/>
                <w:sz w:val="16"/>
                <w:szCs w:val="16"/>
                <w:lang w:val="en-CA"/>
              </w:rPr>
              <w:t>PK blood (2</w:t>
            </w:r>
            <w:r w:rsidR="004F79B2" w:rsidRPr="005A3B0C">
              <w:rPr>
                <w:rFonts w:cs="Arial"/>
                <w:sz w:val="16"/>
                <w:szCs w:val="16"/>
                <w:lang w:val="en-CA"/>
              </w:rPr>
              <w:t>ml)</w:t>
            </w:r>
          </w:p>
        </w:tc>
        <w:tc>
          <w:tcPr>
            <w:tcW w:w="992" w:type="dxa"/>
            <w:vAlign w:val="center"/>
          </w:tcPr>
          <w:p w:rsidR="004F79B2" w:rsidRPr="005A3B0C" w:rsidRDefault="004F79B2" w:rsidP="00856337">
            <w:pPr>
              <w:jc w:val="center"/>
              <w:rPr>
                <w:rFonts w:cs="Arial"/>
                <w:b/>
                <w:bCs/>
                <w:sz w:val="16"/>
                <w:szCs w:val="16"/>
                <w:lang w:val="en-CA"/>
              </w:rPr>
            </w:pPr>
          </w:p>
        </w:tc>
        <w:tc>
          <w:tcPr>
            <w:tcW w:w="875" w:type="dxa"/>
            <w:vAlign w:val="center"/>
          </w:tcPr>
          <w:p w:rsidR="004F79B2" w:rsidRPr="005A3B0C" w:rsidRDefault="004F79B2" w:rsidP="00856337">
            <w:pPr>
              <w:jc w:val="center"/>
              <w:rPr>
                <w:rFonts w:cs="Arial"/>
                <w:b/>
                <w:bCs/>
                <w:sz w:val="16"/>
                <w:szCs w:val="16"/>
                <w:lang w:val="en-CA"/>
              </w:rPr>
            </w:pPr>
          </w:p>
        </w:tc>
        <w:tc>
          <w:tcPr>
            <w:tcW w:w="2669" w:type="dxa"/>
            <w:gridSpan w:val="3"/>
            <w:vAlign w:val="center"/>
          </w:tcPr>
          <w:p w:rsidR="004F79B2" w:rsidRPr="005A3B0C" w:rsidRDefault="004F79B2" w:rsidP="00BE7849">
            <w:pPr>
              <w:jc w:val="center"/>
              <w:rPr>
                <w:rFonts w:cs="Arial"/>
                <w:b/>
                <w:bCs/>
                <w:sz w:val="16"/>
                <w:szCs w:val="16"/>
                <w:lang w:val="en-CA"/>
              </w:rPr>
            </w:pPr>
            <w:r w:rsidRPr="005A3B0C">
              <w:rPr>
                <w:rFonts w:cs="Arial"/>
                <w:b/>
                <w:bCs/>
                <w:sz w:val="16"/>
                <w:szCs w:val="16"/>
                <w:lang w:val="en-CA"/>
              </w:rPr>
              <w:t xml:space="preserve">X – </w:t>
            </w:r>
            <w:r w:rsidR="00BE7849" w:rsidRPr="005A3B0C">
              <w:rPr>
                <w:rFonts w:cs="Arial"/>
                <w:b/>
                <w:bCs/>
                <w:sz w:val="16"/>
                <w:szCs w:val="16"/>
                <w:lang w:val="en-CA"/>
              </w:rPr>
              <w:t>5 times</w:t>
            </w:r>
            <w:r w:rsidRPr="005A3B0C">
              <w:rPr>
                <w:rFonts w:cs="Arial"/>
                <w:b/>
                <w:bCs/>
                <w:sz w:val="16"/>
                <w:szCs w:val="16"/>
                <w:lang w:val="en-CA"/>
              </w:rPr>
              <w:t xml:space="preserve"> between day 1-14</w:t>
            </w:r>
          </w:p>
        </w:tc>
        <w:tc>
          <w:tcPr>
            <w:tcW w:w="850" w:type="dxa"/>
            <w:vAlign w:val="center"/>
          </w:tcPr>
          <w:p w:rsidR="004F79B2" w:rsidRPr="005A3B0C" w:rsidRDefault="004F79B2" w:rsidP="00856337">
            <w:pPr>
              <w:jc w:val="center"/>
              <w:rPr>
                <w:rFonts w:cs="Arial"/>
                <w:b/>
                <w:bCs/>
                <w:sz w:val="16"/>
                <w:szCs w:val="16"/>
                <w:lang w:val="en-CA"/>
              </w:rPr>
            </w:pPr>
          </w:p>
        </w:tc>
        <w:tc>
          <w:tcPr>
            <w:tcW w:w="851" w:type="dxa"/>
            <w:vAlign w:val="center"/>
          </w:tcPr>
          <w:p w:rsidR="004F79B2" w:rsidRPr="005A3B0C" w:rsidRDefault="004F79B2" w:rsidP="00856337">
            <w:pPr>
              <w:jc w:val="center"/>
              <w:rPr>
                <w:rFonts w:cs="Arial"/>
                <w:b/>
                <w:bCs/>
                <w:sz w:val="16"/>
                <w:szCs w:val="16"/>
                <w:lang w:val="en-CA"/>
              </w:rPr>
            </w:pPr>
          </w:p>
        </w:tc>
        <w:tc>
          <w:tcPr>
            <w:tcW w:w="940" w:type="dxa"/>
            <w:vAlign w:val="center"/>
          </w:tcPr>
          <w:p w:rsidR="004F79B2" w:rsidRPr="005A3B0C" w:rsidRDefault="004F79B2" w:rsidP="00856337">
            <w:pPr>
              <w:jc w:val="center"/>
              <w:rPr>
                <w:rFonts w:cs="Arial"/>
                <w:b/>
                <w:bCs/>
                <w:sz w:val="16"/>
                <w:szCs w:val="16"/>
                <w:lang w:val="en-CA"/>
              </w:rPr>
            </w:pPr>
          </w:p>
        </w:tc>
      </w:tr>
      <w:tr w:rsidR="00EF354D" w:rsidRPr="00A73C45" w:rsidTr="00856337">
        <w:tc>
          <w:tcPr>
            <w:tcW w:w="2093" w:type="dxa"/>
          </w:tcPr>
          <w:p w:rsidR="00EF354D" w:rsidRPr="005A3B0C" w:rsidRDefault="00CC2A6B">
            <w:pPr>
              <w:rPr>
                <w:rFonts w:cs="Arial"/>
                <w:sz w:val="16"/>
                <w:szCs w:val="16"/>
                <w:lang w:val="en-CA"/>
              </w:rPr>
            </w:pPr>
            <w:r w:rsidRPr="005A3B0C">
              <w:rPr>
                <w:rFonts w:cs="Arial"/>
                <w:sz w:val="16"/>
                <w:szCs w:val="16"/>
                <w:lang w:val="en-CA"/>
              </w:rPr>
              <w:t>Full blood count</w:t>
            </w:r>
          </w:p>
        </w:tc>
        <w:tc>
          <w:tcPr>
            <w:tcW w:w="992" w:type="dxa"/>
            <w:vAlign w:val="center"/>
          </w:tcPr>
          <w:p w:rsidR="00EF354D" w:rsidRPr="005A3B0C" w:rsidRDefault="00975583" w:rsidP="00856337">
            <w:pPr>
              <w:jc w:val="center"/>
              <w:rPr>
                <w:rFonts w:cs="Arial"/>
                <w:b/>
                <w:bCs/>
                <w:sz w:val="16"/>
                <w:szCs w:val="16"/>
                <w:lang w:val="en-CA"/>
              </w:rPr>
            </w:pPr>
            <w:r w:rsidRPr="005A3B0C">
              <w:rPr>
                <w:rFonts w:cs="Arial"/>
                <w:b/>
                <w:bCs/>
                <w:sz w:val="16"/>
                <w:szCs w:val="16"/>
                <w:lang w:val="en-CA"/>
              </w:rPr>
              <w:t>(X)</w:t>
            </w:r>
          </w:p>
        </w:tc>
        <w:tc>
          <w:tcPr>
            <w:tcW w:w="875" w:type="dxa"/>
            <w:vAlign w:val="center"/>
          </w:tcPr>
          <w:p w:rsidR="00EF354D" w:rsidRPr="005A3B0C" w:rsidRDefault="00CC2A6B" w:rsidP="00856337">
            <w:pPr>
              <w:jc w:val="center"/>
              <w:rPr>
                <w:rFonts w:cs="Arial"/>
                <w:b/>
                <w:bCs/>
                <w:sz w:val="16"/>
                <w:szCs w:val="16"/>
                <w:lang w:val="en-CA"/>
              </w:rPr>
            </w:pPr>
            <w:r w:rsidRPr="005A3B0C">
              <w:rPr>
                <w:rFonts w:cs="Arial"/>
                <w:b/>
                <w:bCs/>
                <w:sz w:val="16"/>
                <w:szCs w:val="16"/>
                <w:lang w:val="en-CA"/>
              </w:rPr>
              <w:t>X</w:t>
            </w:r>
            <w:r w:rsidR="004F79B2" w:rsidRPr="005A3B0C">
              <w:rPr>
                <w:rFonts w:cs="Arial"/>
                <w:b/>
                <w:bCs/>
                <w:sz w:val="16"/>
                <w:szCs w:val="16"/>
                <w:vertAlign w:val="superscript"/>
                <w:lang w:val="en-CA"/>
              </w:rPr>
              <w:t>(g)</w:t>
            </w:r>
          </w:p>
        </w:tc>
        <w:tc>
          <w:tcPr>
            <w:tcW w:w="684" w:type="dxa"/>
            <w:vAlign w:val="center"/>
          </w:tcPr>
          <w:p w:rsidR="00EF354D" w:rsidRPr="005A3B0C" w:rsidRDefault="00EF354D" w:rsidP="00856337">
            <w:pPr>
              <w:jc w:val="center"/>
              <w:rPr>
                <w:rFonts w:cs="Arial"/>
                <w:b/>
                <w:bCs/>
                <w:sz w:val="16"/>
                <w:szCs w:val="16"/>
                <w:lang w:val="en-CA"/>
              </w:rPr>
            </w:pPr>
          </w:p>
        </w:tc>
        <w:tc>
          <w:tcPr>
            <w:tcW w:w="709"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1276"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850"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851"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940" w:type="dxa"/>
            <w:vAlign w:val="center"/>
          </w:tcPr>
          <w:p w:rsidR="00EF354D" w:rsidRPr="005A3B0C" w:rsidRDefault="00EF354D" w:rsidP="00856337">
            <w:pPr>
              <w:jc w:val="center"/>
              <w:rPr>
                <w:rFonts w:cs="Arial"/>
                <w:b/>
                <w:bCs/>
                <w:sz w:val="16"/>
                <w:szCs w:val="16"/>
                <w:lang w:val="en-CA"/>
              </w:rPr>
            </w:pPr>
          </w:p>
        </w:tc>
      </w:tr>
      <w:tr w:rsidR="00EF354D" w:rsidRPr="00A73C45" w:rsidTr="00856337">
        <w:tc>
          <w:tcPr>
            <w:tcW w:w="2093" w:type="dxa"/>
          </w:tcPr>
          <w:p w:rsidR="00EF354D" w:rsidRPr="005A3B0C" w:rsidRDefault="00CC2A6B" w:rsidP="00CC2A6B">
            <w:pPr>
              <w:jc w:val="left"/>
              <w:rPr>
                <w:rFonts w:cs="Arial"/>
                <w:sz w:val="16"/>
                <w:szCs w:val="16"/>
                <w:lang w:val="en-CA"/>
              </w:rPr>
            </w:pPr>
            <w:r w:rsidRPr="005A3B0C">
              <w:rPr>
                <w:rFonts w:cs="Arial"/>
                <w:sz w:val="16"/>
                <w:szCs w:val="16"/>
                <w:lang w:val="en-CA"/>
              </w:rPr>
              <w:t>Urea, Creatinine, electrolytes</w:t>
            </w:r>
            <w:r w:rsidR="00975583" w:rsidRPr="005A3B0C">
              <w:rPr>
                <w:rFonts w:cs="Arial"/>
                <w:sz w:val="16"/>
                <w:szCs w:val="16"/>
                <w:lang w:val="en-CA"/>
              </w:rPr>
              <w:t xml:space="preserve"> (5mls clotted blood)</w:t>
            </w:r>
          </w:p>
        </w:tc>
        <w:tc>
          <w:tcPr>
            <w:tcW w:w="992" w:type="dxa"/>
            <w:vAlign w:val="center"/>
          </w:tcPr>
          <w:p w:rsidR="00EF354D" w:rsidRPr="005A3B0C" w:rsidRDefault="00975583" w:rsidP="00856337">
            <w:pPr>
              <w:jc w:val="center"/>
              <w:rPr>
                <w:rFonts w:cs="Arial"/>
                <w:b/>
                <w:bCs/>
                <w:sz w:val="16"/>
                <w:szCs w:val="16"/>
                <w:lang w:val="en-CA"/>
              </w:rPr>
            </w:pPr>
            <w:r w:rsidRPr="005A3B0C">
              <w:rPr>
                <w:rFonts w:cs="Arial"/>
                <w:b/>
                <w:bCs/>
                <w:sz w:val="16"/>
                <w:szCs w:val="16"/>
                <w:lang w:val="en-CA"/>
              </w:rPr>
              <w:t>(X)</w:t>
            </w:r>
          </w:p>
        </w:tc>
        <w:tc>
          <w:tcPr>
            <w:tcW w:w="875" w:type="dxa"/>
            <w:vAlign w:val="center"/>
          </w:tcPr>
          <w:p w:rsidR="00EF354D" w:rsidRPr="005A3B0C" w:rsidRDefault="00CC2A6B" w:rsidP="00856337">
            <w:pPr>
              <w:jc w:val="center"/>
              <w:rPr>
                <w:rFonts w:cs="Arial"/>
                <w:b/>
                <w:bCs/>
                <w:sz w:val="16"/>
                <w:szCs w:val="16"/>
                <w:lang w:val="en-CA"/>
              </w:rPr>
            </w:pPr>
            <w:r w:rsidRPr="005A3B0C">
              <w:rPr>
                <w:rFonts w:cs="Arial"/>
                <w:b/>
                <w:bCs/>
                <w:sz w:val="16"/>
                <w:szCs w:val="16"/>
                <w:lang w:val="en-CA"/>
              </w:rPr>
              <w:t>X</w:t>
            </w:r>
            <w:r w:rsidR="004F79B2" w:rsidRPr="005A3B0C">
              <w:rPr>
                <w:rFonts w:cs="Arial"/>
                <w:b/>
                <w:bCs/>
                <w:sz w:val="16"/>
                <w:szCs w:val="16"/>
                <w:vertAlign w:val="superscript"/>
                <w:lang w:val="en-CA"/>
              </w:rPr>
              <w:t>(g)</w:t>
            </w:r>
          </w:p>
        </w:tc>
        <w:tc>
          <w:tcPr>
            <w:tcW w:w="684" w:type="dxa"/>
            <w:vAlign w:val="center"/>
          </w:tcPr>
          <w:p w:rsidR="00EF354D" w:rsidRPr="005A3B0C" w:rsidRDefault="00EF354D" w:rsidP="00856337">
            <w:pPr>
              <w:jc w:val="center"/>
              <w:rPr>
                <w:rFonts w:cs="Arial"/>
                <w:b/>
                <w:bCs/>
                <w:sz w:val="16"/>
                <w:szCs w:val="16"/>
                <w:lang w:val="en-CA"/>
              </w:rPr>
            </w:pPr>
          </w:p>
        </w:tc>
        <w:tc>
          <w:tcPr>
            <w:tcW w:w="709"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1276"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850"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851" w:type="dxa"/>
            <w:vAlign w:val="center"/>
          </w:tcPr>
          <w:p w:rsidR="00EF354D" w:rsidRPr="005A3B0C" w:rsidRDefault="004F79B2" w:rsidP="00856337">
            <w:pPr>
              <w:jc w:val="center"/>
              <w:rPr>
                <w:rFonts w:cs="Arial"/>
                <w:b/>
                <w:bCs/>
                <w:sz w:val="16"/>
                <w:szCs w:val="16"/>
                <w:lang w:val="en-CA"/>
              </w:rPr>
            </w:pPr>
            <w:r w:rsidRPr="005A3B0C">
              <w:rPr>
                <w:rFonts w:cs="Arial"/>
                <w:b/>
                <w:bCs/>
                <w:sz w:val="16"/>
                <w:szCs w:val="16"/>
                <w:lang w:val="en-CA"/>
              </w:rPr>
              <w:t>(</w:t>
            </w:r>
            <w:r w:rsidR="00CC2A6B" w:rsidRPr="005A3B0C">
              <w:rPr>
                <w:rFonts w:cs="Arial"/>
                <w:b/>
                <w:bCs/>
                <w:sz w:val="16"/>
                <w:szCs w:val="16"/>
                <w:lang w:val="en-CA"/>
              </w:rPr>
              <w:t>X</w:t>
            </w:r>
            <w:r w:rsidRPr="005A3B0C">
              <w:rPr>
                <w:rFonts w:cs="Arial"/>
                <w:b/>
                <w:bCs/>
                <w:sz w:val="16"/>
                <w:szCs w:val="16"/>
                <w:lang w:val="en-CA"/>
              </w:rPr>
              <w:t>)</w:t>
            </w:r>
          </w:p>
        </w:tc>
        <w:tc>
          <w:tcPr>
            <w:tcW w:w="940" w:type="dxa"/>
            <w:vAlign w:val="center"/>
          </w:tcPr>
          <w:p w:rsidR="00EF354D" w:rsidRPr="005A3B0C" w:rsidRDefault="00EF354D" w:rsidP="00856337">
            <w:pPr>
              <w:jc w:val="center"/>
              <w:rPr>
                <w:rFonts w:cs="Arial"/>
                <w:b/>
                <w:bCs/>
                <w:sz w:val="16"/>
                <w:szCs w:val="16"/>
                <w:lang w:val="en-CA"/>
              </w:rPr>
            </w:pPr>
          </w:p>
        </w:tc>
      </w:tr>
      <w:tr w:rsidR="00112031" w:rsidRPr="00A73C45" w:rsidTr="00856337">
        <w:tc>
          <w:tcPr>
            <w:tcW w:w="2093" w:type="dxa"/>
          </w:tcPr>
          <w:p w:rsidR="00112031" w:rsidRPr="005A3B0C" w:rsidRDefault="00112031" w:rsidP="00CC2A6B">
            <w:pPr>
              <w:jc w:val="left"/>
              <w:rPr>
                <w:rFonts w:cs="Arial"/>
                <w:sz w:val="16"/>
                <w:szCs w:val="16"/>
                <w:lang w:val="en-CA"/>
              </w:rPr>
            </w:pPr>
            <w:r w:rsidRPr="005A3B0C">
              <w:rPr>
                <w:rFonts w:cs="Arial"/>
                <w:sz w:val="16"/>
                <w:szCs w:val="16"/>
                <w:lang w:val="en-CA"/>
              </w:rPr>
              <w:t>Liver function  tests (AST,</w:t>
            </w:r>
            <w:r w:rsidR="00785174">
              <w:rPr>
                <w:rFonts w:cs="Arial"/>
                <w:sz w:val="16"/>
                <w:szCs w:val="16"/>
                <w:lang w:val="en-CA"/>
              </w:rPr>
              <w:t xml:space="preserve"> ALT, </w:t>
            </w:r>
            <w:r w:rsidRPr="005A3B0C">
              <w:rPr>
                <w:rFonts w:cs="Arial"/>
                <w:sz w:val="16"/>
                <w:szCs w:val="16"/>
                <w:lang w:val="en-CA"/>
              </w:rPr>
              <w:t xml:space="preserve"> bilirubin)</w:t>
            </w:r>
          </w:p>
        </w:tc>
        <w:tc>
          <w:tcPr>
            <w:tcW w:w="992" w:type="dxa"/>
            <w:vAlign w:val="center"/>
          </w:tcPr>
          <w:p w:rsidR="00112031" w:rsidRPr="005A3B0C" w:rsidRDefault="00112031" w:rsidP="00856337">
            <w:pPr>
              <w:jc w:val="center"/>
              <w:rPr>
                <w:rFonts w:cs="Arial"/>
                <w:b/>
                <w:bCs/>
                <w:sz w:val="16"/>
                <w:szCs w:val="16"/>
                <w:lang w:val="en-CA"/>
              </w:rPr>
            </w:pPr>
            <w:r w:rsidRPr="005A3B0C">
              <w:rPr>
                <w:rFonts w:cs="Arial"/>
                <w:b/>
                <w:bCs/>
                <w:sz w:val="16"/>
                <w:szCs w:val="16"/>
                <w:lang w:val="en-CA"/>
              </w:rPr>
              <w:t>(X)</w:t>
            </w:r>
          </w:p>
        </w:tc>
        <w:tc>
          <w:tcPr>
            <w:tcW w:w="875" w:type="dxa"/>
            <w:vAlign w:val="center"/>
          </w:tcPr>
          <w:p w:rsidR="00112031" w:rsidRPr="005A3B0C" w:rsidRDefault="00112031" w:rsidP="00856337">
            <w:pPr>
              <w:jc w:val="center"/>
              <w:rPr>
                <w:rFonts w:cs="Arial"/>
                <w:b/>
                <w:bCs/>
                <w:sz w:val="16"/>
                <w:szCs w:val="16"/>
                <w:lang w:val="en-CA"/>
              </w:rPr>
            </w:pPr>
            <w:r w:rsidRPr="005A3B0C">
              <w:rPr>
                <w:rFonts w:cs="Arial"/>
                <w:b/>
                <w:bCs/>
                <w:sz w:val="16"/>
                <w:szCs w:val="16"/>
                <w:lang w:val="en-CA"/>
              </w:rPr>
              <w:t>X</w:t>
            </w:r>
            <w:r w:rsidR="004F79B2" w:rsidRPr="005A3B0C">
              <w:rPr>
                <w:rFonts w:cs="Arial"/>
                <w:b/>
                <w:bCs/>
                <w:sz w:val="16"/>
                <w:szCs w:val="16"/>
                <w:vertAlign w:val="superscript"/>
                <w:lang w:val="en-CA"/>
              </w:rPr>
              <w:t>(g)</w:t>
            </w:r>
          </w:p>
        </w:tc>
        <w:tc>
          <w:tcPr>
            <w:tcW w:w="684" w:type="dxa"/>
            <w:vAlign w:val="center"/>
          </w:tcPr>
          <w:p w:rsidR="00112031" w:rsidRPr="005A3B0C" w:rsidRDefault="00112031" w:rsidP="00856337">
            <w:pPr>
              <w:jc w:val="center"/>
              <w:rPr>
                <w:rFonts w:cs="Arial"/>
                <w:b/>
                <w:bCs/>
                <w:sz w:val="16"/>
                <w:szCs w:val="16"/>
                <w:lang w:val="en-CA"/>
              </w:rPr>
            </w:pPr>
          </w:p>
        </w:tc>
        <w:tc>
          <w:tcPr>
            <w:tcW w:w="709" w:type="dxa"/>
            <w:vAlign w:val="center"/>
          </w:tcPr>
          <w:p w:rsidR="00112031" w:rsidRPr="005A3B0C" w:rsidRDefault="004F79B2" w:rsidP="00856337">
            <w:pPr>
              <w:jc w:val="center"/>
              <w:rPr>
                <w:rFonts w:cs="Arial"/>
                <w:b/>
                <w:bCs/>
                <w:sz w:val="16"/>
                <w:szCs w:val="16"/>
                <w:lang w:val="en-CA"/>
              </w:rPr>
            </w:pPr>
            <w:r w:rsidRPr="005A3B0C">
              <w:rPr>
                <w:rFonts w:cs="Arial"/>
                <w:b/>
                <w:bCs/>
                <w:sz w:val="16"/>
                <w:szCs w:val="16"/>
                <w:lang w:val="en-CA"/>
              </w:rPr>
              <w:t>(</w:t>
            </w:r>
            <w:r w:rsidR="00112031" w:rsidRPr="005A3B0C">
              <w:rPr>
                <w:rFonts w:cs="Arial"/>
                <w:b/>
                <w:bCs/>
                <w:sz w:val="16"/>
                <w:szCs w:val="16"/>
                <w:lang w:val="en-CA"/>
              </w:rPr>
              <w:t>X</w:t>
            </w:r>
            <w:r w:rsidRPr="005A3B0C">
              <w:rPr>
                <w:rFonts w:cs="Arial"/>
                <w:b/>
                <w:bCs/>
                <w:sz w:val="16"/>
                <w:szCs w:val="16"/>
                <w:lang w:val="en-CA"/>
              </w:rPr>
              <w:t>)</w:t>
            </w:r>
          </w:p>
        </w:tc>
        <w:tc>
          <w:tcPr>
            <w:tcW w:w="1276" w:type="dxa"/>
            <w:vAlign w:val="center"/>
          </w:tcPr>
          <w:p w:rsidR="00112031" w:rsidRPr="005A3B0C" w:rsidRDefault="004F79B2" w:rsidP="00856337">
            <w:pPr>
              <w:jc w:val="center"/>
              <w:rPr>
                <w:rFonts w:cs="Arial"/>
                <w:b/>
                <w:bCs/>
                <w:sz w:val="16"/>
                <w:szCs w:val="16"/>
                <w:lang w:val="en-CA"/>
              </w:rPr>
            </w:pPr>
            <w:r w:rsidRPr="005A3B0C">
              <w:rPr>
                <w:rFonts w:cs="Arial"/>
                <w:b/>
                <w:bCs/>
                <w:sz w:val="16"/>
                <w:szCs w:val="16"/>
                <w:lang w:val="en-CA"/>
              </w:rPr>
              <w:t>(</w:t>
            </w:r>
            <w:r w:rsidR="00112031" w:rsidRPr="005A3B0C">
              <w:rPr>
                <w:rFonts w:cs="Arial"/>
                <w:b/>
                <w:bCs/>
                <w:sz w:val="16"/>
                <w:szCs w:val="16"/>
                <w:lang w:val="en-CA"/>
              </w:rPr>
              <w:t>X</w:t>
            </w:r>
            <w:r w:rsidRPr="005A3B0C">
              <w:rPr>
                <w:rFonts w:cs="Arial"/>
                <w:b/>
                <w:bCs/>
                <w:sz w:val="16"/>
                <w:szCs w:val="16"/>
                <w:lang w:val="en-CA"/>
              </w:rPr>
              <w:t>)</w:t>
            </w:r>
          </w:p>
        </w:tc>
        <w:tc>
          <w:tcPr>
            <w:tcW w:w="850" w:type="dxa"/>
            <w:vAlign w:val="center"/>
          </w:tcPr>
          <w:p w:rsidR="00112031" w:rsidRPr="005A3B0C" w:rsidRDefault="004F79B2" w:rsidP="00856337">
            <w:pPr>
              <w:jc w:val="center"/>
              <w:rPr>
                <w:rFonts w:cs="Arial"/>
                <w:b/>
                <w:bCs/>
                <w:sz w:val="16"/>
                <w:szCs w:val="16"/>
                <w:lang w:val="en-CA"/>
              </w:rPr>
            </w:pPr>
            <w:r w:rsidRPr="005A3B0C">
              <w:rPr>
                <w:rFonts w:cs="Arial"/>
                <w:b/>
                <w:bCs/>
                <w:sz w:val="16"/>
                <w:szCs w:val="16"/>
                <w:lang w:val="en-CA"/>
              </w:rPr>
              <w:t>(</w:t>
            </w:r>
            <w:r w:rsidR="00112031" w:rsidRPr="005A3B0C">
              <w:rPr>
                <w:rFonts w:cs="Arial"/>
                <w:b/>
                <w:bCs/>
                <w:sz w:val="16"/>
                <w:szCs w:val="16"/>
                <w:lang w:val="en-CA"/>
              </w:rPr>
              <w:t>X</w:t>
            </w:r>
            <w:r w:rsidRPr="005A3B0C">
              <w:rPr>
                <w:rFonts w:cs="Arial"/>
                <w:b/>
                <w:bCs/>
                <w:sz w:val="16"/>
                <w:szCs w:val="16"/>
                <w:lang w:val="en-CA"/>
              </w:rPr>
              <w:t>)</w:t>
            </w:r>
          </w:p>
        </w:tc>
        <w:tc>
          <w:tcPr>
            <w:tcW w:w="851" w:type="dxa"/>
            <w:vAlign w:val="center"/>
          </w:tcPr>
          <w:p w:rsidR="00112031" w:rsidRPr="005A3B0C" w:rsidRDefault="004F79B2" w:rsidP="00856337">
            <w:pPr>
              <w:jc w:val="center"/>
              <w:rPr>
                <w:rFonts w:cs="Arial"/>
                <w:b/>
                <w:bCs/>
                <w:sz w:val="16"/>
                <w:szCs w:val="16"/>
                <w:lang w:val="en-CA"/>
              </w:rPr>
            </w:pPr>
            <w:r w:rsidRPr="005A3B0C">
              <w:rPr>
                <w:rFonts w:cs="Arial"/>
                <w:b/>
                <w:bCs/>
                <w:sz w:val="16"/>
                <w:szCs w:val="16"/>
                <w:lang w:val="en-CA"/>
              </w:rPr>
              <w:t>(</w:t>
            </w:r>
            <w:r w:rsidR="00112031" w:rsidRPr="005A3B0C">
              <w:rPr>
                <w:rFonts w:cs="Arial"/>
                <w:b/>
                <w:bCs/>
                <w:sz w:val="16"/>
                <w:szCs w:val="16"/>
                <w:lang w:val="en-CA"/>
              </w:rPr>
              <w:t>X</w:t>
            </w:r>
            <w:r w:rsidRPr="005A3B0C">
              <w:rPr>
                <w:rFonts w:cs="Arial"/>
                <w:b/>
                <w:bCs/>
                <w:sz w:val="16"/>
                <w:szCs w:val="16"/>
                <w:lang w:val="en-CA"/>
              </w:rPr>
              <w:t>)</w:t>
            </w:r>
          </w:p>
        </w:tc>
        <w:tc>
          <w:tcPr>
            <w:tcW w:w="940" w:type="dxa"/>
            <w:vAlign w:val="center"/>
          </w:tcPr>
          <w:p w:rsidR="00112031" w:rsidRPr="005A3B0C" w:rsidRDefault="00112031" w:rsidP="00856337">
            <w:pPr>
              <w:jc w:val="center"/>
              <w:rPr>
                <w:rFonts w:cs="Arial"/>
                <w:b/>
                <w:bCs/>
                <w:sz w:val="16"/>
                <w:szCs w:val="16"/>
                <w:lang w:val="en-CA"/>
              </w:rPr>
            </w:pPr>
          </w:p>
        </w:tc>
      </w:tr>
      <w:tr w:rsidR="00F371BA" w:rsidRPr="00A73C45" w:rsidTr="00856337">
        <w:tc>
          <w:tcPr>
            <w:tcW w:w="2093" w:type="dxa"/>
          </w:tcPr>
          <w:p w:rsidR="00F371BA" w:rsidRPr="005A3B0C" w:rsidRDefault="007A1B1D" w:rsidP="007A1B1D">
            <w:pPr>
              <w:jc w:val="left"/>
              <w:rPr>
                <w:rFonts w:cs="Arial"/>
                <w:sz w:val="16"/>
                <w:szCs w:val="16"/>
                <w:lang w:val="en-CA"/>
              </w:rPr>
            </w:pPr>
            <w:r>
              <w:rPr>
                <w:rFonts w:cs="Arial"/>
                <w:sz w:val="16"/>
                <w:szCs w:val="16"/>
                <w:lang w:val="en-CA"/>
              </w:rPr>
              <w:t>Stool microscopy for RBC</w:t>
            </w:r>
          </w:p>
        </w:tc>
        <w:tc>
          <w:tcPr>
            <w:tcW w:w="992" w:type="dxa"/>
            <w:vAlign w:val="center"/>
          </w:tcPr>
          <w:p w:rsidR="00F371BA" w:rsidRPr="005A3B0C" w:rsidRDefault="00F371BA" w:rsidP="00856337">
            <w:pPr>
              <w:jc w:val="center"/>
              <w:rPr>
                <w:rFonts w:cs="Arial"/>
                <w:b/>
                <w:bCs/>
                <w:sz w:val="16"/>
                <w:szCs w:val="16"/>
                <w:lang w:val="en-CA"/>
              </w:rPr>
            </w:pPr>
          </w:p>
        </w:tc>
        <w:tc>
          <w:tcPr>
            <w:tcW w:w="875" w:type="dxa"/>
            <w:vAlign w:val="center"/>
          </w:tcPr>
          <w:p w:rsidR="00F371BA" w:rsidRPr="005A3B0C" w:rsidRDefault="00F371BA" w:rsidP="00856337">
            <w:pPr>
              <w:jc w:val="center"/>
              <w:rPr>
                <w:rFonts w:cs="Arial"/>
                <w:b/>
                <w:bCs/>
                <w:sz w:val="16"/>
                <w:szCs w:val="16"/>
                <w:lang w:val="en-CA"/>
              </w:rPr>
            </w:pPr>
          </w:p>
        </w:tc>
        <w:tc>
          <w:tcPr>
            <w:tcW w:w="684" w:type="dxa"/>
            <w:vAlign w:val="center"/>
          </w:tcPr>
          <w:p w:rsidR="00F371BA" w:rsidRPr="005A3B0C" w:rsidRDefault="00F371BA" w:rsidP="00856337">
            <w:pPr>
              <w:jc w:val="center"/>
              <w:rPr>
                <w:rFonts w:cs="Arial"/>
                <w:b/>
                <w:bCs/>
                <w:sz w:val="16"/>
                <w:szCs w:val="16"/>
                <w:lang w:val="en-CA"/>
              </w:rPr>
            </w:pPr>
          </w:p>
        </w:tc>
        <w:tc>
          <w:tcPr>
            <w:tcW w:w="709" w:type="dxa"/>
            <w:vAlign w:val="center"/>
          </w:tcPr>
          <w:p w:rsidR="00F371BA" w:rsidRPr="005A3B0C" w:rsidRDefault="00F371BA" w:rsidP="00856337">
            <w:pPr>
              <w:jc w:val="center"/>
              <w:rPr>
                <w:rFonts w:cs="Arial"/>
                <w:b/>
                <w:bCs/>
                <w:sz w:val="16"/>
                <w:szCs w:val="16"/>
                <w:lang w:val="en-CA"/>
              </w:rPr>
            </w:pPr>
            <w:r>
              <w:rPr>
                <w:rFonts w:cs="Arial"/>
                <w:b/>
                <w:bCs/>
                <w:sz w:val="16"/>
                <w:szCs w:val="16"/>
                <w:lang w:val="en-CA"/>
              </w:rPr>
              <w:t>x</w:t>
            </w:r>
          </w:p>
        </w:tc>
        <w:tc>
          <w:tcPr>
            <w:tcW w:w="1276" w:type="dxa"/>
            <w:vAlign w:val="center"/>
          </w:tcPr>
          <w:p w:rsidR="00F371BA" w:rsidRPr="005A3B0C" w:rsidRDefault="00F371BA" w:rsidP="00856337">
            <w:pPr>
              <w:jc w:val="center"/>
              <w:rPr>
                <w:rFonts w:cs="Arial"/>
                <w:b/>
                <w:bCs/>
                <w:sz w:val="16"/>
                <w:szCs w:val="16"/>
                <w:lang w:val="en-CA"/>
              </w:rPr>
            </w:pPr>
            <w:r>
              <w:rPr>
                <w:rFonts w:cs="Arial"/>
                <w:b/>
                <w:bCs/>
                <w:sz w:val="16"/>
                <w:szCs w:val="16"/>
                <w:lang w:val="en-CA"/>
              </w:rPr>
              <w:t>x</w:t>
            </w:r>
          </w:p>
        </w:tc>
        <w:tc>
          <w:tcPr>
            <w:tcW w:w="850" w:type="dxa"/>
            <w:vAlign w:val="center"/>
          </w:tcPr>
          <w:p w:rsidR="00F371BA" w:rsidRPr="005A3B0C" w:rsidRDefault="00077793" w:rsidP="00856337">
            <w:pPr>
              <w:jc w:val="center"/>
              <w:rPr>
                <w:rFonts w:cs="Arial"/>
                <w:b/>
                <w:bCs/>
                <w:sz w:val="16"/>
                <w:szCs w:val="16"/>
                <w:lang w:val="en-CA"/>
              </w:rPr>
            </w:pPr>
            <w:r w:rsidRPr="005A3B0C">
              <w:rPr>
                <w:rFonts w:cs="Arial"/>
                <w:b/>
                <w:bCs/>
                <w:sz w:val="16"/>
                <w:szCs w:val="16"/>
                <w:lang w:val="en-CA"/>
              </w:rPr>
              <w:t>X</w:t>
            </w:r>
          </w:p>
        </w:tc>
        <w:tc>
          <w:tcPr>
            <w:tcW w:w="851" w:type="dxa"/>
            <w:vAlign w:val="center"/>
          </w:tcPr>
          <w:p w:rsidR="00F371BA" w:rsidRPr="005A3B0C" w:rsidRDefault="00077793" w:rsidP="00856337">
            <w:pPr>
              <w:jc w:val="center"/>
              <w:rPr>
                <w:rFonts w:cs="Arial"/>
                <w:b/>
                <w:bCs/>
                <w:sz w:val="16"/>
                <w:szCs w:val="16"/>
                <w:lang w:val="en-CA"/>
              </w:rPr>
            </w:pPr>
            <w:r w:rsidRPr="005A3B0C">
              <w:rPr>
                <w:rFonts w:cs="Arial"/>
                <w:b/>
                <w:bCs/>
                <w:sz w:val="16"/>
                <w:szCs w:val="16"/>
                <w:lang w:val="en-CA"/>
              </w:rPr>
              <w:t>X</w:t>
            </w:r>
          </w:p>
        </w:tc>
        <w:tc>
          <w:tcPr>
            <w:tcW w:w="940" w:type="dxa"/>
            <w:vAlign w:val="center"/>
          </w:tcPr>
          <w:p w:rsidR="00F371BA" w:rsidRPr="005A3B0C" w:rsidRDefault="00F371BA" w:rsidP="00856337">
            <w:pPr>
              <w:jc w:val="center"/>
              <w:rPr>
                <w:rFonts w:cs="Arial"/>
                <w:b/>
                <w:bCs/>
                <w:sz w:val="16"/>
                <w:szCs w:val="16"/>
                <w:lang w:val="en-CA"/>
              </w:rPr>
            </w:pPr>
          </w:p>
        </w:tc>
      </w:tr>
      <w:tr w:rsidR="00EF354D" w:rsidRPr="00A73C45" w:rsidTr="00856337">
        <w:tc>
          <w:tcPr>
            <w:tcW w:w="2093" w:type="dxa"/>
          </w:tcPr>
          <w:p w:rsidR="00EF354D" w:rsidRPr="00A73C45" w:rsidRDefault="00CC2A6B">
            <w:pPr>
              <w:rPr>
                <w:rFonts w:cs="Arial"/>
                <w:sz w:val="16"/>
                <w:szCs w:val="16"/>
                <w:lang w:val="en-CA"/>
              </w:rPr>
            </w:pPr>
            <w:r w:rsidRPr="00A73C45">
              <w:rPr>
                <w:rFonts w:cs="Arial"/>
                <w:sz w:val="16"/>
                <w:szCs w:val="16"/>
                <w:lang w:val="en-CA"/>
              </w:rPr>
              <w:t>MRI brain</w:t>
            </w:r>
            <w:r w:rsidR="00415CD2" w:rsidRPr="00A73C45">
              <w:rPr>
                <w:rFonts w:cs="Arial"/>
                <w:sz w:val="16"/>
                <w:szCs w:val="16"/>
                <w:vertAlign w:val="superscript"/>
                <w:lang w:val="en-CA"/>
              </w:rPr>
              <w:t>(</w:t>
            </w:r>
            <w:r w:rsidR="004E0416">
              <w:rPr>
                <w:rFonts w:cs="Arial"/>
                <w:sz w:val="16"/>
                <w:szCs w:val="16"/>
                <w:vertAlign w:val="superscript"/>
                <w:lang w:val="en-CA"/>
              </w:rPr>
              <w:t>e</w:t>
            </w:r>
            <w:r w:rsidR="00415CD2" w:rsidRPr="00A73C45">
              <w:rPr>
                <w:rFonts w:cs="Arial"/>
                <w:sz w:val="16"/>
                <w:szCs w:val="16"/>
                <w:vertAlign w:val="superscript"/>
                <w:lang w:val="en-CA"/>
              </w:rPr>
              <w:t>)</w:t>
            </w:r>
          </w:p>
        </w:tc>
        <w:tc>
          <w:tcPr>
            <w:tcW w:w="992" w:type="dxa"/>
            <w:vAlign w:val="center"/>
          </w:tcPr>
          <w:p w:rsidR="00EF354D" w:rsidRPr="00A73C45" w:rsidRDefault="00EF354D" w:rsidP="00856337">
            <w:pPr>
              <w:jc w:val="center"/>
              <w:rPr>
                <w:rFonts w:cs="Arial"/>
                <w:b/>
                <w:bCs/>
                <w:sz w:val="16"/>
                <w:szCs w:val="16"/>
                <w:lang w:val="en-CA"/>
              </w:rPr>
            </w:pPr>
          </w:p>
        </w:tc>
        <w:tc>
          <w:tcPr>
            <w:tcW w:w="875" w:type="dxa"/>
            <w:vAlign w:val="center"/>
          </w:tcPr>
          <w:p w:rsidR="00EF354D" w:rsidRPr="00A73C45" w:rsidRDefault="00CC2A6B" w:rsidP="00856337">
            <w:pPr>
              <w:jc w:val="center"/>
              <w:rPr>
                <w:rFonts w:cs="Arial"/>
                <w:b/>
                <w:bCs/>
                <w:sz w:val="16"/>
                <w:szCs w:val="16"/>
                <w:lang w:val="en-CA"/>
              </w:rPr>
            </w:pPr>
            <w:r w:rsidRPr="00A73C45">
              <w:rPr>
                <w:rFonts w:cs="Arial"/>
                <w:b/>
                <w:bCs/>
                <w:sz w:val="16"/>
                <w:szCs w:val="16"/>
                <w:lang w:val="en-CA"/>
              </w:rPr>
              <w:t>X</w:t>
            </w:r>
          </w:p>
        </w:tc>
        <w:tc>
          <w:tcPr>
            <w:tcW w:w="684" w:type="dxa"/>
            <w:vAlign w:val="center"/>
          </w:tcPr>
          <w:p w:rsidR="00EF354D" w:rsidRPr="00A73C45" w:rsidRDefault="00EF354D" w:rsidP="00856337">
            <w:pPr>
              <w:jc w:val="center"/>
              <w:rPr>
                <w:rFonts w:cs="Arial"/>
                <w:b/>
                <w:bCs/>
                <w:sz w:val="16"/>
                <w:szCs w:val="16"/>
                <w:lang w:val="en-CA"/>
              </w:rPr>
            </w:pPr>
          </w:p>
        </w:tc>
        <w:tc>
          <w:tcPr>
            <w:tcW w:w="709" w:type="dxa"/>
            <w:vAlign w:val="center"/>
          </w:tcPr>
          <w:p w:rsidR="00EF354D" w:rsidRPr="00A73C45" w:rsidRDefault="00EF354D" w:rsidP="00856337">
            <w:pPr>
              <w:jc w:val="center"/>
              <w:rPr>
                <w:rFonts w:cs="Arial"/>
                <w:b/>
                <w:bCs/>
                <w:sz w:val="16"/>
                <w:szCs w:val="16"/>
                <w:lang w:val="en-CA"/>
              </w:rPr>
            </w:pPr>
          </w:p>
        </w:tc>
        <w:tc>
          <w:tcPr>
            <w:tcW w:w="1276" w:type="dxa"/>
            <w:vAlign w:val="center"/>
          </w:tcPr>
          <w:p w:rsidR="00EF354D" w:rsidRPr="00A73C45" w:rsidRDefault="00EF354D" w:rsidP="00856337">
            <w:pPr>
              <w:jc w:val="center"/>
              <w:rPr>
                <w:rFonts w:cs="Arial"/>
                <w:b/>
                <w:bCs/>
                <w:sz w:val="16"/>
                <w:szCs w:val="16"/>
                <w:lang w:val="en-CA"/>
              </w:rPr>
            </w:pPr>
          </w:p>
        </w:tc>
        <w:tc>
          <w:tcPr>
            <w:tcW w:w="850" w:type="dxa"/>
            <w:vAlign w:val="center"/>
          </w:tcPr>
          <w:p w:rsidR="00EF354D" w:rsidRPr="00A73C45" w:rsidRDefault="00EF354D" w:rsidP="00856337">
            <w:pPr>
              <w:jc w:val="center"/>
              <w:rPr>
                <w:rFonts w:cs="Arial"/>
                <w:b/>
                <w:bCs/>
                <w:sz w:val="16"/>
                <w:szCs w:val="16"/>
                <w:lang w:val="en-CA"/>
              </w:rPr>
            </w:pPr>
          </w:p>
        </w:tc>
        <w:tc>
          <w:tcPr>
            <w:tcW w:w="851"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c>
          <w:tcPr>
            <w:tcW w:w="940"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r>
      <w:tr w:rsidR="00EF354D" w:rsidRPr="00A73C45" w:rsidTr="00856337">
        <w:tc>
          <w:tcPr>
            <w:tcW w:w="2093" w:type="dxa"/>
          </w:tcPr>
          <w:p w:rsidR="00EF354D" w:rsidRPr="00A73C45" w:rsidRDefault="00CC2A6B" w:rsidP="00CC2A6B">
            <w:pPr>
              <w:jc w:val="left"/>
              <w:rPr>
                <w:rFonts w:cs="Arial"/>
                <w:sz w:val="16"/>
                <w:szCs w:val="16"/>
                <w:lang w:val="en-CA"/>
              </w:rPr>
            </w:pPr>
            <w:r w:rsidRPr="00A73C45">
              <w:rPr>
                <w:rFonts w:cs="Arial"/>
                <w:sz w:val="16"/>
                <w:szCs w:val="16"/>
                <w:lang w:val="en-CA"/>
              </w:rPr>
              <w:t>Adverse event assessments</w:t>
            </w:r>
            <w:r w:rsidR="00CE317F" w:rsidRPr="00A73C45">
              <w:rPr>
                <w:rFonts w:cs="Arial"/>
                <w:sz w:val="16"/>
                <w:szCs w:val="16"/>
                <w:lang w:val="en-CA"/>
              </w:rPr>
              <w:t xml:space="preserve"> </w:t>
            </w:r>
            <w:r w:rsidR="00CE317F" w:rsidRPr="00A73C45">
              <w:rPr>
                <w:rFonts w:cs="Arial"/>
                <w:sz w:val="16"/>
                <w:szCs w:val="16"/>
                <w:vertAlign w:val="superscript"/>
                <w:lang w:val="en-CA"/>
              </w:rPr>
              <w:t>(f)</w:t>
            </w:r>
          </w:p>
        </w:tc>
        <w:tc>
          <w:tcPr>
            <w:tcW w:w="992" w:type="dxa"/>
            <w:vAlign w:val="center"/>
          </w:tcPr>
          <w:p w:rsidR="00EF354D" w:rsidRPr="00A73C45" w:rsidRDefault="00EF354D" w:rsidP="00856337">
            <w:pPr>
              <w:jc w:val="center"/>
              <w:rPr>
                <w:rFonts w:cs="Arial"/>
                <w:b/>
                <w:bCs/>
                <w:sz w:val="16"/>
                <w:szCs w:val="16"/>
                <w:lang w:val="en-CA"/>
              </w:rPr>
            </w:pPr>
          </w:p>
        </w:tc>
        <w:tc>
          <w:tcPr>
            <w:tcW w:w="875" w:type="dxa"/>
            <w:vAlign w:val="center"/>
          </w:tcPr>
          <w:p w:rsidR="00EF354D" w:rsidRPr="00A73C45" w:rsidRDefault="00EF354D" w:rsidP="00856337">
            <w:pPr>
              <w:jc w:val="center"/>
              <w:rPr>
                <w:rFonts w:cs="Arial"/>
                <w:b/>
                <w:bCs/>
                <w:sz w:val="16"/>
                <w:szCs w:val="16"/>
                <w:lang w:val="en-CA"/>
              </w:rPr>
            </w:pPr>
          </w:p>
        </w:tc>
        <w:tc>
          <w:tcPr>
            <w:tcW w:w="684" w:type="dxa"/>
            <w:vAlign w:val="center"/>
          </w:tcPr>
          <w:p w:rsidR="00EF354D" w:rsidRPr="00A73C45" w:rsidRDefault="00EF354D" w:rsidP="00856337">
            <w:pPr>
              <w:jc w:val="center"/>
              <w:rPr>
                <w:rFonts w:cs="Arial"/>
                <w:b/>
                <w:bCs/>
                <w:sz w:val="16"/>
                <w:szCs w:val="16"/>
                <w:lang w:val="en-CA"/>
              </w:rPr>
            </w:pPr>
          </w:p>
        </w:tc>
        <w:tc>
          <w:tcPr>
            <w:tcW w:w="709"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c>
          <w:tcPr>
            <w:tcW w:w="1276"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c>
          <w:tcPr>
            <w:tcW w:w="850"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c>
          <w:tcPr>
            <w:tcW w:w="851"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c>
          <w:tcPr>
            <w:tcW w:w="940" w:type="dxa"/>
            <w:vAlign w:val="center"/>
          </w:tcPr>
          <w:p w:rsidR="00EF354D" w:rsidRPr="00A73C45" w:rsidRDefault="004422C0" w:rsidP="00856337">
            <w:pPr>
              <w:jc w:val="center"/>
              <w:rPr>
                <w:rFonts w:cs="Arial"/>
                <w:b/>
                <w:bCs/>
                <w:sz w:val="16"/>
                <w:szCs w:val="16"/>
                <w:lang w:val="en-CA"/>
              </w:rPr>
            </w:pPr>
            <w:r w:rsidRPr="00A73C45">
              <w:rPr>
                <w:rFonts w:cs="Arial"/>
                <w:b/>
                <w:bCs/>
                <w:sz w:val="16"/>
                <w:szCs w:val="16"/>
                <w:lang w:val="en-CA"/>
              </w:rPr>
              <w:t>X</w:t>
            </w:r>
          </w:p>
        </w:tc>
      </w:tr>
    </w:tbl>
    <w:p w:rsidR="00975583" w:rsidRPr="00A73C45" w:rsidRDefault="00975583" w:rsidP="00975583">
      <w:pPr>
        <w:pStyle w:val="PTBodyText"/>
        <w:rPr>
          <w:rStyle w:val="PTBodyTextBoldNormal"/>
          <w:b w:val="0"/>
          <w:i/>
          <w:sz w:val="16"/>
          <w:szCs w:val="16"/>
          <w:lang w:val="en-CA"/>
        </w:rPr>
      </w:pPr>
      <w:r w:rsidRPr="00A73C45">
        <w:rPr>
          <w:rStyle w:val="PTBodyTextBoldNormal"/>
          <w:b w:val="0"/>
          <w:i/>
          <w:sz w:val="16"/>
          <w:szCs w:val="16"/>
          <w:lang w:val="en-CA"/>
        </w:rPr>
        <w:t>() indicate tests that will have already been performed as part of standard clinical care.</w:t>
      </w:r>
    </w:p>
    <w:p w:rsidR="00F84AE3" w:rsidRPr="00A73C45" w:rsidRDefault="00F84AE3">
      <w:pPr>
        <w:rPr>
          <w:sz w:val="16"/>
          <w:szCs w:val="16"/>
          <w:lang w:val="en-CA"/>
        </w:rPr>
      </w:pPr>
    </w:p>
    <w:p w:rsidR="009C4212" w:rsidRPr="00A73C45" w:rsidRDefault="00975583" w:rsidP="002A161D">
      <w:pPr>
        <w:numPr>
          <w:ilvl w:val="0"/>
          <w:numId w:val="7"/>
        </w:numPr>
        <w:ind w:left="927"/>
        <w:rPr>
          <w:sz w:val="16"/>
          <w:szCs w:val="16"/>
          <w:lang w:val="en-CA"/>
        </w:rPr>
      </w:pPr>
      <w:r w:rsidRPr="00A73C45">
        <w:rPr>
          <w:sz w:val="16"/>
          <w:szCs w:val="16"/>
          <w:lang w:val="en-CA"/>
        </w:rPr>
        <w:t>Includes</w:t>
      </w:r>
      <w:r w:rsidR="005343BF" w:rsidRPr="00A73C45">
        <w:rPr>
          <w:sz w:val="16"/>
          <w:szCs w:val="16"/>
          <w:lang w:val="en-CA"/>
        </w:rPr>
        <w:t xml:space="preserve"> neurological examination and assessment of consciousness</w:t>
      </w:r>
      <w:r w:rsidR="009C4212" w:rsidRPr="00A73C45">
        <w:rPr>
          <w:sz w:val="16"/>
          <w:szCs w:val="16"/>
          <w:lang w:val="en-CA"/>
        </w:rPr>
        <w:t>. Active surveillance for gastro-intestinal bleeding and other potential side effects of aspirin.</w:t>
      </w:r>
      <w:r w:rsidR="00CE317F" w:rsidRPr="00A73C45">
        <w:rPr>
          <w:sz w:val="16"/>
          <w:szCs w:val="16"/>
          <w:lang w:val="en-CA"/>
        </w:rPr>
        <w:t xml:space="preserve"> Glasgow outcome and modified Rankin scores will be assessed on day 60 and </w:t>
      </w:r>
      <w:r w:rsidR="00667BA4">
        <w:rPr>
          <w:sz w:val="16"/>
          <w:szCs w:val="16"/>
          <w:lang w:val="en-CA"/>
        </w:rPr>
        <w:t>240</w:t>
      </w:r>
      <w:r w:rsidR="00CE317F" w:rsidRPr="00A73C45">
        <w:rPr>
          <w:sz w:val="16"/>
          <w:szCs w:val="16"/>
          <w:lang w:val="en-CA"/>
        </w:rPr>
        <w:t>.</w:t>
      </w:r>
    </w:p>
    <w:p w:rsidR="009C4212" w:rsidRPr="00A73C45" w:rsidRDefault="00975583" w:rsidP="002A161D">
      <w:pPr>
        <w:numPr>
          <w:ilvl w:val="0"/>
          <w:numId w:val="7"/>
        </w:numPr>
        <w:ind w:left="927"/>
        <w:rPr>
          <w:sz w:val="16"/>
          <w:szCs w:val="16"/>
          <w:lang w:val="en-CA"/>
        </w:rPr>
      </w:pPr>
      <w:r w:rsidRPr="00A73C45">
        <w:rPr>
          <w:sz w:val="16"/>
          <w:szCs w:val="16"/>
          <w:lang w:val="en-CA"/>
        </w:rPr>
        <w:t xml:space="preserve">Includes </w:t>
      </w:r>
      <w:r w:rsidR="00932212" w:rsidRPr="00A73C45">
        <w:rPr>
          <w:sz w:val="16"/>
          <w:szCs w:val="16"/>
          <w:lang w:val="en-CA"/>
        </w:rPr>
        <w:t xml:space="preserve">microscopy, culture, and drug susceptibility tests for </w:t>
      </w:r>
      <w:r w:rsidR="00932212" w:rsidRPr="00A73C45">
        <w:rPr>
          <w:i/>
          <w:sz w:val="16"/>
          <w:szCs w:val="16"/>
          <w:lang w:val="en-CA"/>
        </w:rPr>
        <w:t>Mycobacterium tuberculosis</w:t>
      </w:r>
      <w:r w:rsidR="00932212" w:rsidRPr="00A73C45">
        <w:rPr>
          <w:sz w:val="16"/>
          <w:szCs w:val="16"/>
          <w:lang w:val="en-CA"/>
        </w:rPr>
        <w:t xml:space="preserve">; Gene Xpert MTB/RIF test on all samples; and </w:t>
      </w:r>
      <w:r w:rsidR="009C4212" w:rsidRPr="00A73C45">
        <w:rPr>
          <w:sz w:val="16"/>
          <w:szCs w:val="16"/>
          <w:lang w:val="en-CA"/>
        </w:rPr>
        <w:t xml:space="preserve">measurement of </w:t>
      </w:r>
      <w:r w:rsidRPr="00A73C45">
        <w:rPr>
          <w:sz w:val="16"/>
          <w:szCs w:val="16"/>
          <w:lang w:val="en-CA"/>
        </w:rPr>
        <w:t>CSF</w:t>
      </w:r>
      <w:r w:rsidR="009C4212" w:rsidRPr="00A73C45">
        <w:rPr>
          <w:sz w:val="16"/>
          <w:szCs w:val="16"/>
          <w:lang w:val="en-CA"/>
        </w:rPr>
        <w:t xml:space="preserve"> leucocytes, protein, glucose, and cytokines (TNF-</w:t>
      </w:r>
      <w:r w:rsidR="009C4212" w:rsidRPr="00A73C45">
        <w:rPr>
          <w:rFonts w:cs="Arial"/>
          <w:sz w:val="16"/>
          <w:szCs w:val="16"/>
          <w:lang w:val="en-CA"/>
        </w:rPr>
        <w:t>α</w:t>
      </w:r>
      <w:r w:rsidR="009C4212" w:rsidRPr="00A73C45">
        <w:rPr>
          <w:sz w:val="16"/>
          <w:szCs w:val="16"/>
          <w:lang w:val="en-CA"/>
        </w:rPr>
        <w:t>, IL-1</w:t>
      </w:r>
      <w:r w:rsidR="009C4212" w:rsidRPr="00A73C45">
        <w:rPr>
          <w:rFonts w:cs="Arial"/>
          <w:sz w:val="16"/>
          <w:szCs w:val="16"/>
          <w:lang w:val="en-CA"/>
        </w:rPr>
        <w:t>β</w:t>
      </w:r>
      <w:r w:rsidR="009C4212" w:rsidRPr="00A73C45">
        <w:rPr>
          <w:sz w:val="16"/>
          <w:szCs w:val="16"/>
          <w:lang w:val="en-CA"/>
        </w:rPr>
        <w:t>, IL-8, IL-10, IFN</w:t>
      </w:r>
      <w:r w:rsidR="009C4212" w:rsidRPr="00A73C45">
        <w:rPr>
          <w:rFonts w:cs="Arial"/>
          <w:sz w:val="16"/>
          <w:szCs w:val="16"/>
          <w:lang w:val="en-CA"/>
        </w:rPr>
        <w:t>γ</w:t>
      </w:r>
      <w:r w:rsidR="009C4212" w:rsidRPr="00A73C45">
        <w:rPr>
          <w:sz w:val="16"/>
          <w:szCs w:val="16"/>
          <w:lang w:val="en-CA"/>
        </w:rPr>
        <w:t>) and eicosanoids (15-epi-Lipoxin, Lipoxin A4, LTB4, PGE2, TBXB2, PGD2)</w:t>
      </w:r>
      <w:r w:rsidR="00B5645F" w:rsidRPr="00A73C45">
        <w:rPr>
          <w:sz w:val="16"/>
          <w:szCs w:val="16"/>
          <w:lang w:val="en-CA"/>
        </w:rPr>
        <w:t>.</w:t>
      </w:r>
      <w:r w:rsidR="00866173">
        <w:rPr>
          <w:sz w:val="16"/>
          <w:szCs w:val="16"/>
          <w:lang w:val="en-CA"/>
        </w:rPr>
        <w:t xml:space="preserve">  Up to 10 ml of CSF will be taken.  </w:t>
      </w:r>
      <w:r w:rsidR="00E56C99" w:rsidRPr="00E56C99">
        <w:rPr>
          <w:sz w:val="16"/>
          <w:szCs w:val="16"/>
          <w:lang w:val="en-CA"/>
        </w:rPr>
        <w:t xml:space="preserve">Any residual volume of CSF </w:t>
      </w:r>
      <w:r w:rsidR="007617E7">
        <w:rPr>
          <w:sz w:val="16"/>
          <w:szCs w:val="16"/>
          <w:lang w:val="en-CA"/>
        </w:rPr>
        <w:t>remaining from these</w:t>
      </w:r>
      <w:r w:rsidR="00E56C99" w:rsidRPr="00E56C99">
        <w:rPr>
          <w:sz w:val="16"/>
          <w:szCs w:val="16"/>
          <w:lang w:val="en-CA"/>
        </w:rPr>
        <w:t xml:space="preserve"> lumbar puncture will be stored for the purposes of this study</w:t>
      </w:r>
    </w:p>
    <w:p w:rsidR="009C4212" w:rsidRPr="00A73C45" w:rsidRDefault="009C4212" w:rsidP="002A161D">
      <w:pPr>
        <w:numPr>
          <w:ilvl w:val="0"/>
          <w:numId w:val="7"/>
        </w:numPr>
        <w:ind w:left="927"/>
        <w:rPr>
          <w:sz w:val="16"/>
          <w:szCs w:val="16"/>
          <w:lang w:val="en-CA"/>
        </w:rPr>
      </w:pPr>
      <w:r w:rsidRPr="00A73C45">
        <w:rPr>
          <w:sz w:val="16"/>
          <w:szCs w:val="16"/>
          <w:lang w:val="en-CA"/>
        </w:rPr>
        <w:t xml:space="preserve">For determination of LTA4H genotype and other genetic polymorphisms possibly linked to </w:t>
      </w:r>
      <w:r w:rsidR="00932212" w:rsidRPr="00A73C45">
        <w:rPr>
          <w:sz w:val="16"/>
          <w:szCs w:val="16"/>
          <w:lang w:val="en-CA"/>
        </w:rPr>
        <w:t xml:space="preserve">susceptibility and </w:t>
      </w:r>
      <w:r w:rsidRPr="00A73C45">
        <w:rPr>
          <w:sz w:val="16"/>
          <w:szCs w:val="16"/>
          <w:lang w:val="en-CA"/>
        </w:rPr>
        <w:t>outcome from TBM</w:t>
      </w:r>
    </w:p>
    <w:p w:rsidR="00CE317F" w:rsidRPr="00A73C45" w:rsidRDefault="00CE317F" w:rsidP="002A161D">
      <w:pPr>
        <w:numPr>
          <w:ilvl w:val="0"/>
          <w:numId w:val="7"/>
        </w:numPr>
        <w:ind w:left="927"/>
        <w:rPr>
          <w:sz w:val="16"/>
          <w:szCs w:val="16"/>
          <w:lang w:val="en-CA"/>
        </w:rPr>
      </w:pPr>
      <w:r w:rsidRPr="00A73C45">
        <w:rPr>
          <w:sz w:val="16"/>
          <w:szCs w:val="16"/>
          <w:lang w:val="en-CA"/>
        </w:rPr>
        <w:t>For assessment of antimicrobial activity of peripheral blood monocyte</w:t>
      </w:r>
      <w:r w:rsidR="00856337">
        <w:rPr>
          <w:sz w:val="16"/>
          <w:szCs w:val="16"/>
          <w:lang w:val="en-CA"/>
        </w:rPr>
        <w:t>/macrophages</w:t>
      </w:r>
      <w:r w:rsidRPr="00A73C45">
        <w:rPr>
          <w:sz w:val="16"/>
          <w:szCs w:val="16"/>
          <w:lang w:val="en-CA"/>
        </w:rPr>
        <w:t>.</w:t>
      </w:r>
    </w:p>
    <w:p w:rsidR="00415CD2" w:rsidRPr="00A73C45" w:rsidRDefault="00415CD2" w:rsidP="002A161D">
      <w:pPr>
        <w:numPr>
          <w:ilvl w:val="0"/>
          <w:numId w:val="7"/>
        </w:numPr>
        <w:ind w:left="927"/>
        <w:rPr>
          <w:sz w:val="16"/>
          <w:szCs w:val="16"/>
          <w:lang w:val="en-CA"/>
        </w:rPr>
      </w:pPr>
      <w:r w:rsidRPr="00A73C45">
        <w:rPr>
          <w:sz w:val="16"/>
          <w:szCs w:val="16"/>
          <w:lang w:val="en-CA"/>
        </w:rPr>
        <w:t xml:space="preserve">MRI brain can be +/- 5 days from </w:t>
      </w:r>
      <w:r w:rsidR="00B5645F" w:rsidRPr="00A73C45">
        <w:rPr>
          <w:sz w:val="16"/>
          <w:szCs w:val="16"/>
          <w:lang w:val="en-CA"/>
        </w:rPr>
        <w:t xml:space="preserve">randomisation and </w:t>
      </w:r>
      <w:r w:rsidRPr="00A73C45">
        <w:rPr>
          <w:sz w:val="16"/>
          <w:szCs w:val="16"/>
          <w:lang w:val="en-CA"/>
        </w:rPr>
        <w:t>the date of follow-up</w:t>
      </w:r>
      <w:r w:rsidR="00C54233" w:rsidRPr="00A73C45">
        <w:rPr>
          <w:sz w:val="16"/>
          <w:szCs w:val="16"/>
          <w:lang w:val="en-CA"/>
        </w:rPr>
        <w:t xml:space="preserve">. </w:t>
      </w:r>
    </w:p>
    <w:p w:rsidR="00CE317F" w:rsidRDefault="00CE317F" w:rsidP="002A161D">
      <w:pPr>
        <w:numPr>
          <w:ilvl w:val="0"/>
          <w:numId w:val="7"/>
        </w:numPr>
        <w:ind w:left="927"/>
        <w:rPr>
          <w:sz w:val="16"/>
          <w:szCs w:val="16"/>
          <w:lang w:val="en-CA"/>
        </w:rPr>
      </w:pPr>
      <w:r w:rsidRPr="00A73C45">
        <w:rPr>
          <w:sz w:val="16"/>
          <w:szCs w:val="16"/>
          <w:lang w:val="en-CA"/>
        </w:rPr>
        <w:t>Active surveillance for known adverse reactions to aspirin, including gastro-intestinal bleeding, renal dysfunction, and hepatitis. Cerebral bleeding will be assessed on MRI brain performed at baseline and day 60.</w:t>
      </w:r>
    </w:p>
    <w:p w:rsidR="004F79B2" w:rsidRPr="00A73C45" w:rsidRDefault="004F79B2" w:rsidP="002A161D">
      <w:pPr>
        <w:numPr>
          <w:ilvl w:val="0"/>
          <w:numId w:val="7"/>
        </w:numPr>
        <w:ind w:left="927"/>
        <w:rPr>
          <w:sz w:val="16"/>
          <w:szCs w:val="16"/>
          <w:lang w:val="en-CA"/>
        </w:rPr>
      </w:pPr>
      <w:r>
        <w:rPr>
          <w:sz w:val="16"/>
          <w:szCs w:val="16"/>
          <w:lang w:val="en-CA"/>
        </w:rPr>
        <w:t>Only necessary if screening blood is &gt;48 hours prior to baseline</w:t>
      </w:r>
    </w:p>
    <w:p w:rsidR="00F84AE3" w:rsidRPr="00A73C45" w:rsidRDefault="00F84AE3" w:rsidP="00130DD2">
      <w:pPr>
        <w:pStyle w:val="Heading1"/>
        <w:rPr>
          <w:lang w:val="en-CA"/>
        </w:rPr>
      </w:pPr>
      <w:r w:rsidRPr="00A73C45">
        <w:rPr>
          <w:sz w:val="16"/>
          <w:szCs w:val="16"/>
          <w:lang w:val="en-CA"/>
        </w:rPr>
        <w:br w:type="page"/>
      </w:r>
      <w:bookmarkStart w:id="155" w:name="_Toc387306529"/>
      <w:r w:rsidR="00552176" w:rsidRPr="00A73C45">
        <w:rPr>
          <w:lang w:val="en-CA"/>
        </w:rPr>
        <w:lastRenderedPageBreak/>
        <w:t>APPENDIX C</w:t>
      </w:r>
      <w:r w:rsidR="0098197C" w:rsidRPr="00A73C45">
        <w:rPr>
          <w:lang w:val="en-CA"/>
        </w:rPr>
        <w:t>. TBM DIAGNOSTIC CRITERIA</w:t>
      </w:r>
      <w:bookmarkEnd w:id="155"/>
    </w:p>
    <w:tbl>
      <w:tblPr>
        <w:tblW w:w="100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7474"/>
        <w:gridCol w:w="96"/>
        <w:gridCol w:w="1147"/>
      </w:tblGrid>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p>
        </w:tc>
        <w:tc>
          <w:tcPr>
            <w:tcW w:w="1147" w:type="dxa"/>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Diagnostic score</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r w:rsidRPr="00A73C45">
              <w:rPr>
                <w:rFonts w:cs="Arial"/>
                <w:b/>
                <w:color w:val="000000"/>
                <w:sz w:val="18"/>
                <w:szCs w:val="18"/>
                <w:lang w:val="en-CA" w:eastAsia="en-GB"/>
              </w:rPr>
              <w:t>Clinical criteria</w:t>
            </w:r>
          </w:p>
        </w:tc>
        <w:tc>
          <w:tcPr>
            <w:tcW w:w="8717" w:type="dxa"/>
            <w:gridSpan w:val="3"/>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(Maximum category score=6)</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Symptom duration of more than 5 days</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4</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Systemic symptoms suggestive of tuberculosis (one or more of the following): weight loss (or poor weight gain in children)&lt;comma&gt; night sweats&lt;comma&gt; or persistent cough for more than 2 weeks</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History of recent (within past year) close contact with an individual with pulmonary tuberculosis or a positive TST or IGRA (only in children &lt;10 years of age)</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Focal neurological deficit (excluding cranial nerve palsies)</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Cranial nerve palsy</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Altered consciousness</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r w:rsidRPr="00A73C45">
              <w:rPr>
                <w:rFonts w:cs="Arial"/>
                <w:b/>
                <w:color w:val="000000"/>
                <w:sz w:val="18"/>
                <w:szCs w:val="18"/>
                <w:lang w:val="en-CA" w:eastAsia="en-GB"/>
              </w:rPr>
              <w:t>CSF criteria</w:t>
            </w:r>
          </w:p>
        </w:tc>
        <w:tc>
          <w:tcPr>
            <w:tcW w:w="8717" w:type="dxa"/>
            <w:gridSpan w:val="3"/>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(Maximum category score=4)</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Clear appearance</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 xml:space="preserve">Cells: </w:t>
            </w:r>
            <w:r w:rsidRPr="00A73C45">
              <w:rPr>
                <w:rFonts w:cs="Arial"/>
                <w:color w:val="000000"/>
                <w:sz w:val="18"/>
                <w:szCs w:val="18"/>
                <w:lang w:val="en-CA" w:eastAsia="id-ID"/>
              </w:rPr>
              <w:t>10-500 per μl</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Lymphocytic predominance (&gt;50%)</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Protein concentration greater than 1 g/L</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CSF to plasma glucose ratio of less than 50% or an absolute CSF glucose concentration less than 2.2mmol/L</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r w:rsidRPr="00A73C45">
              <w:rPr>
                <w:rFonts w:cs="Arial"/>
                <w:b/>
                <w:color w:val="000000"/>
                <w:sz w:val="18"/>
                <w:szCs w:val="18"/>
                <w:lang w:val="en-CA" w:eastAsia="en-GB"/>
              </w:rPr>
              <w:t>Cerebral imaging criteria</w:t>
            </w:r>
          </w:p>
        </w:tc>
        <w:tc>
          <w:tcPr>
            <w:tcW w:w="8717" w:type="dxa"/>
            <w:gridSpan w:val="3"/>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(Maximum category score=6)</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Hydrocephalus</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Basal meningeal enhancement</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Tuberculoma</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Infarct</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1</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Pre-contrast basal hyperdensity</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r w:rsidRPr="00A73C45">
              <w:rPr>
                <w:rFonts w:cs="Arial"/>
                <w:b/>
                <w:color w:val="000000"/>
                <w:sz w:val="18"/>
                <w:szCs w:val="18"/>
                <w:lang w:val="en-CA" w:eastAsia="en-GB"/>
              </w:rPr>
              <w:t>Evidence of tuberculosis elsewhere</w:t>
            </w:r>
          </w:p>
        </w:tc>
        <w:tc>
          <w:tcPr>
            <w:tcW w:w="8717" w:type="dxa"/>
            <w:gridSpan w:val="3"/>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(Maximum category score=4)</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Chest radiograph suggestive of active tuberculosis: signs of tuberculosis=2; miliary tuberculosis=4</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 or 4</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CT/ MRI/ ultrasound evidence for tuberculosis outside the CNS</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2</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id-ID"/>
              </w:rPr>
              <w:t xml:space="preserve">AFB identified or </w:t>
            </w:r>
            <w:r w:rsidRPr="00A73C45">
              <w:rPr>
                <w:rFonts w:cs="Arial"/>
                <w:i/>
                <w:color w:val="000000"/>
                <w:sz w:val="18"/>
                <w:szCs w:val="18"/>
                <w:lang w:val="en-CA" w:eastAsia="id-ID"/>
              </w:rPr>
              <w:t>Mycobacterium tuberculosis</w:t>
            </w:r>
            <w:r w:rsidRPr="00A73C45">
              <w:rPr>
                <w:rFonts w:cs="Arial"/>
                <w:color w:val="000000"/>
                <w:sz w:val="18"/>
                <w:szCs w:val="18"/>
                <w:lang w:val="en-CA" w:eastAsia="id-ID"/>
              </w:rPr>
              <w:t xml:space="preserve"> cultured from another source-ie, sputum, lumph node, gastric washing, urine, blood culture</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4</w:t>
            </w:r>
          </w:p>
        </w:tc>
      </w:tr>
      <w:tr w:rsidR="00825883" w:rsidRPr="00A73C45" w:rsidTr="00825883">
        <w:trPr>
          <w:trHeight w:val="300"/>
        </w:trPr>
        <w:tc>
          <w:tcPr>
            <w:tcW w:w="1330" w:type="dxa"/>
            <w:shd w:val="clear" w:color="auto" w:fill="auto"/>
            <w:noWrap/>
            <w:vAlign w:val="bottom"/>
            <w:hideMark/>
          </w:tcPr>
          <w:p w:rsidR="00825883" w:rsidRPr="00A73C45" w:rsidRDefault="00825883" w:rsidP="00690335">
            <w:pPr>
              <w:spacing w:line="240" w:lineRule="auto"/>
              <w:rPr>
                <w:rFonts w:cs="Arial"/>
                <w:b/>
                <w:color w:val="000000"/>
                <w:sz w:val="18"/>
                <w:szCs w:val="18"/>
                <w:lang w:val="en-CA" w:eastAsia="en-GB"/>
              </w:rPr>
            </w:pPr>
          </w:p>
        </w:tc>
        <w:tc>
          <w:tcPr>
            <w:tcW w:w="7570" w:type="dxa"/>
            <w:gridSpan w:val="2"/>
            <w:shd w:val="clear" w:color="auto" w:fill="auto"/>
            <w:noWrap/>
            <w:vAlign w:val="bottom"/>
            <w:hideMark/>
          </w:tcPr>
          <w:p w:rsidR="00825883" w:rsidRPr="00A73C45" w:rsidRDefault="00825883" w:rsidP="00690335">
            <w:pPr>
              <w:spacing w:line="240" w:lineRule="auto"/>
              <w:rPr>
                <w:rFonts w:cs="Arial"/>
                <w:color w:val="000000"/>
                <w:sz w:val="18"/>
                <w:szCs w:val="18"/>
                <w:lang w:val="en-CA" w:eastAsia="en-GB"/>
              </w:rPr>
            </w:pPr>
            <w:r w:rsidRPr="00A73C45">
              <w:rPr>
                <w:rFonts w:cs="Arial"/>
                <w:color w:val="000000"/>
                <w:sz w:val="18"/>
                <w:szCs w:val="18"/>
                <w:lang w:val="en-CA" w:eastAsia="en-GB"/>
              </w:rPr>
              <w:t>Positive commercial M tuberculosis NAAT from extra-neural specimen</w:t>
            </w:r>
          </w:p>
        </w:tc>
        <w:tc>
          <w:tcPr>
            <w:tcW w:w="1147" w:type="dxa"/>
            <w:shd w:val="clear" w:color="auto" w:fill="auto"/>
            <w:noWrap/>
            <w:vAlign w:val="bottom"/>
            <w:hideMark/>
          </w:tcPr>
          <w:p w:rsidR="00825883" w:rsidRPr="00A73C45" w:rsidRDefault="00825883" w:rsidP="00690335">
            <w:pPr>
              <w:spacing w:line="240" w:lineRule="auto"/>
              <w:jc w:val="right"/>
              <w:rPr>
                <w:rFonts w:cs="Arial"/>
                <w:color w:val="000000"/>
                <w:sz w:val="18"/>
                <w:szCs w:val="18"/>
                <w:lang w:val="en-CA" w:eastAsia="en-GB"/>
              </w:rPr>
            </w:pPr>
            <w:r w:rsidRPr="00A73C45">
              <w:rPr>
                <w:rFonts w:cs="Arial"/>
                <w:color w:val="000000"/>
                <w:sz w:val="18"/>
                <w:szCs w:val="18"/>
                <w:lang w:val="en-CA" w:eastAsia="en-GB"/>
              </w:rPr>
              <w:t>4</w:t>
            </w:r>
          </w:p>
        </w:tc>
      </w:tr>
      <w:tr w:rsidR="0098197C" w:rsidRPr="00A73C45" w:rsidTr="008258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43" w:type="dxa"/>
          <w:trHeight w:val="300"/>
        </w:trPr>
        <w:tc>
          <w:tcPr>
            <w:tcW w:w="8804" w:type="dxa"/>
            <w:gridSpan w:val="2"/>
            <w:tcBorders>
              <w:top w:val="nil"/>
              <w:left w:val="nil"/>
              <w:bottom w:val="nil"/>
              <w:right w:val="nil"/>
            </w:tcBorders>
            <w:shd w:val="clear" w:color="auto" w:fill="auto"/>
            <w:noWrap/>
            <w:vAlign w:val="bottom"/>
            <w:hideMark/>
          </w:tcPr>
          <w:p w:rsidR="00825883" w:rsidRPr="00A73C45" w:rsidRDefault="00825883" w:rsidP="00EC3BB3">
            <w:pPr>
              <w:spacing w:line="240" w:lineRule="auto"/>
              <w:rPr>
                <w:rFonts w:cs="Arial"/>
                <w:color w:val="000000"/>
                <w:sz w:val="18"/>
                <w:szCs w:val="18"/>
                <w:lang w:val="en-CA" w:eastAsia="id-ID"/>
              </w:rPr>
            </w:pPr>
          </w:p>
          <w:p w:rsidR="00825883" w:rsidRPr="00A73C45" w:rsidRDefault="00825883" w:rsidP="00EC3BB3">
            <w:pPr>
              <w:spacing w:line="240" w:lineRule="auto"/>
              <w:rPr>
                <w:rFonts w:cs="Arial"/>
                <w:b/>
                <w:color w:val="000000"/>
                <w:sz w:val="18"/>
                <w:szCs w:val="18"/>
                <w:u w:val="single"/>
                <w:lang w:val="en-CA" w:eastAsia="id-ID"/>
              </w:rPr>
            </w:pPr>
            <w:r w:rsidRPr="00A73C45">
              <w:rPr>
                <w:rFonts w:cs="Arial"/>
                <w:b/>
                <w:color w:val="000000"/>
                <w:sz w:val="18"/>
                <w:szCs w:val="18"/>
                <w:u w:val="single"/>
                <w:lang w:val="en-CA" w:eastAsia="id-ID"/>
              </w:rPr>
              <w:t>Diagnostic criteria based on total score:</w:t>
            </w:r>
          </w:p>
          <w:p w:rsidR="0098197C" w:rsidRPr="00A73C45" w:rsidRDefault="00825883" w:rsidP="00EC3BB3">
            <w:pPr>
              <w:spacing w:line="240" w:lineRule="auto"/>
              <w:rPr>
                <w:rFonts w:cs="Arial"/>
                <w:color w:val="000000"/>
                <w:sz w:val="18"/>
                <w:szCs w:val="18"/>
                <w:lang w:val="en-CA" w:eastAsia="id-ID"/>
              </w:rPr>
            </w:pPr>
            <w:r w:rsidRPr="00A73C45">
              <w:rPr>
                <w:rFonts w:cs="Arial"/>
                <w:color w:val="000000"/>
                <w:sz w:val="18"/>
                <w:szCs w:val="18"/>
                <w:lang w:val="en-CA" w:eastAsia="id-ID"/>
              </w:rPr>
              <w:t>Possible TBM: score 6-9 (if no brain imaging) or 6-11 (if brain imaging)</w:t>
            </w:r>
          </w:p>
          <w:p w:rsidR="00825883" w:rsidRPr="00A73C45" w:rsidRDefault="00825883" w:rsidP="00825883">
            <w:pPr>
              <w:spacing w:line="240" w:lineRule="auto"/>
              <w:rPr>
                <w:rFonts w:cs="Arial"/>
                <w:color w:val="000000"/>
                <w:sz w:val="18"/>
                <w:szCs w:val="18"/>
                <w:lang w:val="en-CA" w:eastAsia="id-ID"/>
              </w:rPr>
            </w:pPr>
            <w:r w:rsidRPr="00A73C45">
              <w:rPr>
                <w:rFonts w:cs="Arial"/>
                <w:color w:val="000000"/>
                <w:sz w:val="18"/>
                <w:szCs w:val="18"/>
                <w:lang w:val="en-CA" w:eastAsia="id-ID"/>
              </w:rPr>
              <w:t>Probable TBM: score &gt;9 (if no brain imaging) or &gt;11 (if brain imaging)</w:t>
            </w:r>
          </w:p>
          <w:p w:rsidR="00825883" w:rsidRPr="00A73C45" w:rsidRDefault="00825883" w:rsidP="00EC3BB3">
            <w:pPr>
              <w:spacing w:line="240" w:lineRule="auto"/>
              <w:rPr>
                <w:rFonts w:cs="Arial"/>
                <w:color w:val="000000"/>
                <w:sz w:val="18"/>
                <w:szCs w:val="18"/>
                <w:lang w:val="en-CA" w:eastAsia="id-ID"/>
              </w:rPr>
            </w:pPr>
            <w:r w:rsidRPr="00A73C45">
              <w:rPr>
                <w:rFonts w:cs="Arial"/>
                <w:color w:val="000000"/>
                <w:sz w:val="18"/>
                <w:szCs w:val="18"/>
                <w:lang w:val="en-CA" w:eastAsia="id-ID"/>
              </w:rPr>
              <w:t xml:space="preserve">Definite TBM: acid-fast bacilli seen in CSF or </w:t>
            </w:r>
            <w:r w:rsidRPr="00A73C45">
              <w:rPr>
                <w:rFonts w:cs="Arial"/>
                <w:i/>
                <w:color w:val="000000"/>
                <w:sz w:val="18"/>
                <w:szCs w:val="18"/>
                <w:lang w:val="en-CA" w:eastAsia="id-ID"/>
              </w:rPr>
              <w:t>M. tuberculosis</w:t>
            </w:r>
            <w:r w:rsidRPr="00A73C45">
              <w:rPr>
                <w:rFonts w:cs="Arial"/>
                <w:color w:val="000000"/>
                <w:sz w:val="18"/>
                <w:szCs w:val="18"/>
                <w:lang w:val="en-CA" w:eastAsia="id-ID"/>
              </w:rPr>
              <w:t xml:space="preserve"> cultured or detected by commercial NAAT in CSF</w:t>
            </w:r>
          </w:p>
        </w:tc>
      </w:tr>
    </w:tbl>
    <w:p w:rsidR="00F84AE3" w:rsidRPr="00A73C45" w:rsidRDefault="00F84AE3">
      <w:pPr>
        <w:rPr>
          <w:rFonts w:cs="Arial"/>
          <w:sz w:val="20"/>
          <w:szCs w:val="20"/>
          <w:lang w:val="en-CA"/>
        </w:rPr>
      </w:pPr>
    </w:p>
    <w:p w:rsidR="00A55DA5" w:rsidRPr="00A73C45" w:rsidRDefault="00A55DA5">
      <w:pPr>
        <w:spacing w:line="240" w:lineRule="auto"/>
        <w:jc w:val="left"/>
        <w:rPr>
          <w:rFonts w:cs="Arial"/>
          <w:sz w:val="20"/>
          <w:szCs w:val="20"/>
          <w:lang w:val="en-CA"/>
        </w:rPr>
      </w:pPr>
      <w:r w:rsidRPr="00A73C45">
        <w:rPr>
          <w:rFonts w:cs="Arial"/>
          <w:sz w:val="20"/>
          <w:szCs w:val="20"/>
          <w:lang w:val="en-CA"/>
        </w:rPr>
        <w:br w:type="page"/>
      </w:r>
    </w:p>
    <w:p w:rsidR="00A55DA5" w:rsidRPr="00A73C45" w:rsidRDefault="00A55DA5" w:rsidP="003A4A48">
      <w:pPr>
        <w:pStyle w:val="Heading1"/>
        <w:rPr>
          <w:lang w:val="en-CA"/>
        </w:rPr>
      </w:pPr>
      <w:bookmarkStart w:id="156" w:name="_Toc387306530"/>
      <w:r w:rsidRPr="00A73C45">
        <w:rPr>
          <w:lang w:val="en-CA"/>
        </w:rPr>
        <w:lastRenderedPageBreak/>
        <w:t>APPENDIX D. VIET NAM NATIONAL TUBERCULOSIS PROGRAMME TREATMENT GUIDELINES FOR TUBERCULOSIS MENINGITIS</w:t>
      </w:r>
      <w:bookmarkEnd w:id="156"/>
    </w:p>
    <w:p w:rsidR="00A55DA5" w:rsidRPr="00A73C45" w:rsidRDefault="00A55DA5">
      <w:pPr>
        <w:rPr>
          <w:lang w:val="en-CA"/>
        </w:rPr>
      </w:pPr>
    </w:p>
    <w:p w:rsidR="00A55DA5" w:rsidRPr="00A73C45" w:rsidRDefault="00856337" w:rsidP="00A55DA5">
      <w:pPr>
        <w:ind w:left="360" w:hanging="360"/>
        <w:rPr>
          <w:rFonts w:ascii="Calibri" w:hAnsi="Calibri" w:cs="Calibri"/>
          <w:lang w:val="en-CA"/>
        </w:rPr>
      </w:pPr>
      <w:r>
        <w:rPr>
          <w:rFonts w:ascii="Calibri" w:hAnsi="Calibri" w:cs="Calibri"/>
          <w:lang w:val="en-CA"/>
        </w:rPr>
        <w:t>See the Viet Nam National Tuberculosis Programme website or the Vietnamese language version of this protocol</w:t>
      </w:r>
      <w:r w:rsidR="00A55DA5" w:rsidRPr="00A73C45">
        <w:rPr>
          <w:rFonts w:ascii="Calibri" w:hAnsi="Calibri" w:cs="Calibri"/>
          <w:lang w:val="en-CA"/>
        </w:rPr>
        <w:t xml:space="preserve">.  </w:t>
      </w:r>
    </w:p>
    <w:p w:rsidR="00A55DA5" w:rsidRPr="00A73C45" w:rsidRDefault="00A55DA5">
      <w:pPr>
        <w:rPr>
          <w:rFonts w:cs="Arial"/>
          <w:sz w:val="20"/>
          <w:szCs w:val="20"/>
          <w:lang w:val="en-CA"/>
        </w:rPr>
      </w:pPr>
    </w:p>
    <w:sectPr w:rsidR="00A55DA5" w:rsidRPr="00A73C45" w:rsidSect="009F47ED">
      <w:headerReference w:type="even" r:id="rId20"/>
      <w:footerReference w:type="even" r:id="rId21"/>
      <w:footerReference w:type="default" r:id="rId22"/>
      <w:type w:val="oddPage"/>
      <w:pgSz w:w="11906" w:h="16838" w:code="9"/>
      <w:pgMar w:top="1699" w:right="1224" w:bottom="907" w:left="1627" w:header="562"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7F" w:rsidRDefault="00D61D7F">
      <w:r>
        <w:separator/>
      </w:r>
    </w:p>
  </w:endnote>
  <w:endnote w:type="continuationSeparator" w:id="0">
    <w:p w:rsidR="00D61D7F" w:rsidRDefault="00D61D7F">
      <w:r>
        <w:continuationSeparator/>
      </w:r>
    </w:p>
  </w:endnote>
  <w:endnote w:type="continuationNotice" w:id="1">
    <w:p w:rsidR="00D61D7F" w:rsidRDefault="00D61D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76" w:rsidRDefault="006B1B76">
    <w:pPr>
      <w:pBdr>
        <w:top w:val="single" w:sz="4" w:space="1" w:color="auto"/>
      </w:pBdr>
      <w:tabs>
        <w:tab w:val="center" w:pos="4500"/>
        <w:tab w:val="right" w:pos="136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76" w:rsidRDefault="006B1B76" w:rsidP="002718C2">
    <w:pPr>
      <w:pStyle w:val="Footer"/>
    </w:pPr>
    <w:r>
      <w:rPr>
        <w:lang w:val="en-US"/>
      </w:rPr>
      <w:t xml:space="preserve">23TB OxTREC 1059-13 Protocol V1.4 EN </w:t>
    </w:r>
    <w:r w:rsidR="00C30080">
      <w:rPr>
        <w:lang w:val="en-US"/>
      </w:rPr>
      <w:t>11</w:t>
    </w:r>
    <w:r>
      <w:rPr>
        <w:lang w:val="en-US"/>
      </w:rPr>
      <w:t>AUG14</w:t>
    </w:r>
    <w:r>
      <w:rPr>
        <w:lang w:val="en-US"/>
      </w:rPr>
      <w:tab/>
      <w:t xml:space="preserve">Page </w:t>
    </w:r>
    <w:r w:rsidR="00261CB3">
      <w:rPr>
        <w:lang w:val="en-US"/>
      </w:rPr>
      <w:fldChar w:fldCharType="begin"/>
    </w:r>
    <w:r>
      <w:rPr>
        <w:lang w:val="en-US"/>
      </w:rPr>
      <w:instrText xml:space="preserve"> PAGE </w:instrText>
    </w:r>
    <w:r w:rsidR="00261CB3">
      <w:rPr>
        <w:lang w:val="en-US"/>
      </w:rPr>
      <w:fldChar w:fldCharType="separate"/>
    </w:r>
    <w:r w:rsidR="003C6055">
      <w:rPr>
        <w:noProof/>
        <w:lang w:val="en-US"/>
      </w:rPr>
      <w:t>1</w:t>
    </w:r>
    <w:r w:rsidR="00261CB3">
      <w:rPr>
        <w:lang w:val="en-US"/>
      </w:rPr>
      <w:fldChar w:fldCharType="end"/>
    </w:r>
    <w:r>
      <w:rPr>
        <w:lang w:val="en-US"/>
      </w:rPr>
      <w:t xml:space="preserve"> of </w:t>
    </w:r>
    <w:r w:rsidR="00261CB3">
      <w:rPr>
        <w:lang w:val="en-US"/>
      </w:rPr>
      <w:fldChar w:fldCharType="begin"/>
    </w:r>
    <w:r>
      <w:rPr>
        <w:lang w:val="en-US"/>
      </w:rPr>
      <w:instrText xml:space="preserve"> NUMPAGES </w:instrText>
    </w:r>
    <w:r w:rsidR="00261CB3">
      <w:rPr>
        <w:lang w:val="en-US"/>
      </w:rPr>
      <w:fldChar w:fldCharType="separate"/>
    </w:r>
    <w:r w:rsidR="003C6055">
      <w:rPr>
        <w:noProof/>
        <w:lang w:val="en-US"/>
      </w:rPr>
      <w:t>37</w:t>
    </w:r>
    <w:r w:rsidR="00261CB3">
      <w:rPr>
        <w:lang w:val="en-US"/>
      </w:rPr>
      <w:fldChar w:fldCharType="end"/>
    </w:r>
  </w:p>
  <w:p w:rsidR="006B1B76" w:rsidRDefault="006B1B76" w:rsidP="002718C2">
    <w:pPr>
      <w:pStyle w:val="Footer"/>
    </w:pPr>
  </w:p>
  <w:p w:rsidR="006B1B76" w:rsidRDefault="006B1B76" w:rsidP="00271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7F" w:rsidRDefault="00D61D7F">
      <w:r>
        <w:separator/>
      </w:r>
    </w:p>
  </w:footnote>
  <w:footnote w:type="continuationSeparator" w:id="0">
    <w:p w:rsidR="00D61D7F" w:rsidRDefault="00D61D7F">
      <w:r>
        <w:continuationSeparator/>
      </w:r>
    </w:p>
  </w:footnote>
  <w:footnote w:type="continuationNotice" w:id="1">
    <w:p w:rsidR="00D61D7F" w:rsidRDefault="00D61D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76" w:rsidRDefault="006B1B76">
    <w:pPr>
      <w:pStyle w:val="Header"/>
    </w:pPr>
    <w:r>
      <w:rPr>
        <w:noProof/>
        <w:lang w:val="en-US"/>
      </w:rPr>
      <w:drawing>
        <wp:anchor distT="0" distB="0" distL="114300" distR="114300" simplePos="0" relativeHeight="251657728" behindDoc="0" locked="0" layoutInCell="1" allowOverlap="1">
          <wp:simplePos x="0" y="0"/>
          <wp:positionH relativeFrom="column">
            <wp:posOffset>4847590</wp:posOffset>
          </wp:positionH>
          <wp:positionV relativeFrom="paragraph">
            <wp:posOffset>-106680</wp:posOffset>
          </wp:positionV>
          <wp:extent cx="867410" cy="571500"/>
          <wp:effectExtent l="0" t="0" r="0" b="1270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571500"/>
                  </a:xfrm>
                  <a:prstGeom prst="rect">
                    <a:avLst/>
                  </a:prstGeom>
                  <a:noFill/>
                  <a:ln>
                    <a:noFill/>
                  </a:ln>
                </pic:spPr>
              </pic:pic>
            </a:graphicData>
          </a:graphic>
        </wp:anchor>
      </w:drawing>
    </w:r>
  </w:p>
  <w:p w:rsidR="006B1B76" w:rsidRDefault="006B1B76">
    <w:pPr>
      <w:pStyle w:val="Header"/>
    </w:pPr>
    <w:r>
      <w:t>Study Code: &lt;&lt;xxxxxxx&gt;&gt;</w:t>
    </w:r>
  </w:p>
  <w:p w:rsidR="006B1B76" w:rsidRDefault="006B1B76">
    <w:pPr>
      <w:pStyle w:val="Header"/>
    </w:pPr>
    <w:r>
      <w:t>&lt;&lt;DRAFT&gt;&gt; Date:  &lt;&lt;Version 1 – 24 Sept 2002&gt;&gt;</w:t>
    </w:r>
  </w:p>
  <w:p w:rsidR="006B1B76" w:rsidRDefault="006B1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66BC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F3542"/>
    <w:multiLevelType w:val="hybridMultilevel"/>
    <w:tmpl w:val="A06AAE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B44804"/>
    <w:multiLevelType w:val="multilevel"/>
    <w:tmpl w:val="723603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8008B9"/>
    <w:multiLevelType w:val="hybridMultilevel"/>
    <w:tmpl w:val="B5565070"/>
    <w:lvl w:ilvl="0" w:tplc="16F633D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465FC"/>
    <w:multiLevelType w:val="hybridMultilevel"/>
    <w:tmpl w:val="D3D67718"/>
    <w:lvl w:ilvl="0" w:tplc="4CB66298">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
    <w:nsid w:val="18D85A47"/>
    <w:multiLevelType w:val="hybridMultilevel"/>
    <w:tmpl w:val="3C46B9D6"/>
    <w:lvl w:ilvl="0" w:tplc="EA9046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9EF160E"/>
    <w:multiLevelType w:val="hybridMultilevel"/>
    <w:tmpl w:val="B6183898"/>
    <w:lvl w:ilvl="0" w:tplc="9D2C2902">
      <w:start w:val="1"/>
      <w:numFmt w:val="bullet"/>
      <w:pStyle w:val="PTBulletList"/>
      <w:lvlText w:val=""/>
      <w:lvlJc w:val="left"/>
      <w:pPr>
        <w:ind w:left="1077" w:hanging="360"/>
      </w:pPr>
      <w:rPr>
        <w:rFonts w:ascii="Wingdings" w:hAnsi="Wingdings" w:hint="default"/>
        <w:color w:val="auto"/>
        <w:lang w:val="en-GB"/>
      </w:rPr>
    </w:lvl>
    <w:lvl w:ilvl="1" w:tplc="08090019" w:tentative="1">
      <w:start w:val="1"/>
      <w:numFmt w:val="bullet"/>
      <w:lvlText w:val="o"/>
      <w:lvlJc w:val="left"/>
      <w:pPr>
        <w:ind w:left="1797" w:hanging="360"/>
      </w:pPr>
      <w:rPr>
        <w:rFonts w:ascii="Courier New" w:hAnsi="Courier New" w:hint="default"/>
      </w:rPr>
    </w:lvl>
    <w:lvl w:ilvl="2" w:tplc="0809001B" w:tentative="1">
      <w:start w:val="1"/>
      <w:numFmt w:val="bullet"/>
      <w:lvlText w:val=""/>
      <w:lvlJc w:val="left"/>
      <w:pPr>
        <w:ind w:left="2517" w:hanging="360"/>
      </w:pPr>
      <w:rPr>
        <w:rFonts w:ascii="Wingdings" w:hAnsi="Wingdings" w:hint="default"/>
      </w:rPr>
    </w:lvl>
    <w:lvl w:ilvl="3" w:tplc="0809000F" w:tentative="1">
      <w:start w:val="1"/>
      <w:numFmt w:val="bullet"/>
      <w:lvlText w:val=""/>
      <w:lvlJc w:val="left"/>
      <w:pPr>
        <w:ind w:left="3237" w:hanging="360"/>
      </w:pPr>
      <w:rPr>
        <w:rFonts w:ascii="Symbol" w:hAnsi="Symbol" w:hint="default"/>
      </w:rPr>
    </w:lvl>
    <w:lvl w:ilvl="4" w:tplc="08090019" w:tentative="1">
      <w:start w:val="1"/>
      <w:numFmt w:val="bullet"/>
      <w:lvlText w:val="o"/>
      <w:lvlJc w:val="left"/>
      <w:pPr>
        <w:ind w:left="3957" w:hanging="360"/>
      </w:pPr>
      <w:rPr>
        <w:rFonts w:ascii="Courier New" w:hAnsi="Courier New" w:hint="default"/>
      </w:rPr>
    </w:lvl>
    <w:lvl w:ilvl="5" w:tplc="0809001B" w:tentative="1">
      <w:start w:val="1"/>
      <w:numFmt w:val="bullet"/>
      <w:lvlText w:val=""/>
      <w:lvlJc w:val="left"/>
      <w:pPr>
        <w:ind w:left="4677" w:hanging="360"/>
      </w:pPr>
      <w:rPr>
        <w:rFonts w:ascii="Wingdings" w:hAnsi="Wingdings" w:hint="default"/>
      </w:rPr>
    </w:lvl>
    <w:lvl w:ilvl="6" w:tplc="0809000F" w:tentative="1">
      <w:start w:val="1"/>
      <w:numFmt w:val="bullet"/>
      <w:lvlText w:val=""/>
      <w:lvlJc w:val="left"/>
      <w:pPr>
        <w:ind w:left="5397" w:hanging="360"/>
      </w:pPr>
      <w:rPr>
        <w:rFonts w:ascii="Symbol" w:hAnsi="Symbol" w:hint="default"/>
      </w:rPr>
    </w:lvl>
    <w:lvl w:ilvl="7" w:tplc="08090019" w:tentative="1">
      <w:start w:val="1"/>
      <w:numFmt w:val="bullet"/>
      <w:lvlText w:val="o"/>
      <w:lvlJc w:val="left"/>
      <w:pPr>
        <w:ind w:left="6117" w:hanging="360"/>
      </w:pPr>
      <w:rPr>
        <w:rFonts w:ascii="Courier New" w:hAnsi="Courier New" w:hint="default"/>
      </w:rPr>
    </w:lvl>
    <w:lvl w:ilvl="8" w:tplc="0809001B" w:tentative="1">
      <w:start w:val="1"/>
      <w:numFmt w:val="bullet"/>
      <w:lvlText w:val=""/>
      <w:lvlJc w:val="left"/>
      <w:pPr>
        <w:ind w:left="6837" w:hanging="360"/>
      </w:pPr>
      <w:rPr>
        <w:rFonts w:ascii="Wingdings" w:hAnsi="Wingdings" w:hint="default"/>
      </w:rPr>
    </w:lvl>
  </w:abstractNum>
  <w:abstractNum w:abstractNumId="8">
    <w:nsid w:val="19FA46A9"/>
    <w:multiLevelType w:val="hybridMultilevel"/>
    <w:tmpl w:val="D2CEA666"/>
    <w:lvl w:ilvl="0" w:tplc="C458F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3339C8"/>
    <w:multiLevelType w:val="multilevel"/>
    <w:tmpl w:val="B9381FDC"/>
    <w:styleLink w:val="OutlineHeading4"/>
    <w:lvl w:ilvl="0">
      <w:start w:val="1"/>
      <w:numFmt w:val="decimal"/>
      <w:pStyle w:val="PTOutlineHeading1"/>
      <w:lvlText w:val="%1"/>
      <w:lvlJc w:val="left"/>
      <w:pPr>
        <w:ind w:left="432" w:hanging="432"/>
      </w:pPr>
      <w:rPr>
        <w:rFonts w:cs="Times New Roman"/>
      </w:rPr>
    </w:lvl>
    <w:lvl w:ilvl="1">
      <w:start w:val="1"/>
      <w:numFmt w:val="decimal"/>
      <w:pStyle w:val="PTOutlineHeading2"/>
      <w:lvlText w:val="%1.%2"/>
      <w:lvlJc w:val="left"/>
      <w:pPr>
        <w:ind w:left="576" w:hanging="576"/>
      </w:pPr>
      <w:rPr>
        <w:rFonts w:cs="Times New Roman"/>
      </w:rPr>
    </w:lvl>
    <w:lvl w:ilvl="2">
      <w:start w:val="1"/>
      <w:numFmt w:val="decimal"/>
      <w:pStyle w:val="PTOutlineHeading3"/>
      <w:lvlText w:val="%1.%2.%3"/>
      <w:lvlJc w:val="left"/>
      <w:pPr>
        <w:ind w:left="720" w:hanging="720"/>
      </w:pPr>
      <w:rPr>
        <w:rFonts w:cs="Times New Roman"/>
      </w:rPr>
    </w:lvl>
    <w:lvl w:ilvl="3">
      <w:start w:val="1"/>
      <w:numFmt w:val="upperLetter"/>
      <w:pStyle w:val="PTOutlineHeading4"/>
      <w:lvlText w:val="%1.%2.%3.%4"/>
      <w:lvlJc w:val="left"/>
      <w:pPr>
        <w:ind w:left="864" w:hanging="864"/>
      </w:pPr>
      <w:rPr>
        <w:rFonts w:ascii="Calibri" w:hAnsi="Calibri" w:cs="Times New Roman"/>
        <w:color w:val="365F91"/>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1FB75F51"/>
    <w:multiLevelType w:val="hybridMultilevel"/>
    <w:tmpl w:val="EF925F00"/>
    <w:lvl w:ilvl="0" w:tplc="1674B344">
      <w:start w:val="1"/>
      <w:numFmt w:val="bullet"/>
      <w:pStyle w:val="bulletschp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B50030"/>
    <w:multiLevelType w:val="hybridMultilevel"/>
    <w:tmpl w:val="B284E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4C1EE7"/>
    <w:multiLevelType w:val="multilevel"/>
    <w:tmpl w:val="76DAEC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F777852"/>
    <w:multiLevelType w:val="hybridMultilevel"/>
    <w:tmpl w:val="878A21CA"/>
    <w:lvl w:ilvl="0" w:tplc="DA1860B6">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A6AF7"/>
    <w:multiLevelType w:val="multilevel"/>
    <w:tmpl w:val="3C46B9D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3EB42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6AB5679"/>
    <w:multiLevelType w:val="hybridMultilevel"/>
    <w:tmpl w:val="473AD240"/>
    <w:lvl w:ilvl="0" w:tplc="16F633D0">
      <w:start w:val="2"/>
      <w:numFmt w:val="bullet"/>
      <w:lvlText w:val="-"/>
      <w:lvlJc w:val="left"/>
      <w:pPr>
        <w:ind w:left="1077" w:hanging="360"/>
      </w:pPr>
      <w:rPr>
        <w:rFonts w:ascii="Arial" w:eastAsia="Times New Roman" w:hAnsi="Arial" w:cs="Arial" w:hint="default"/>
        <w:color w:val="auto"/>
        <w:lang w:val="en-GB"/>
      </w:rPr>
    </w:lvl>
    <w:lvl w:ilvl="1" w:tplc="08090019" w:tentative="1">
      <w:start w:val="1"/>
      <w:numFmt w:val="bullet"/>
      <w:lvlText w:val="o"/>
      <w:lvlJc w:val="left"/>
      <w:pPr>
        <w:ind w:left="1797" w:hanging="360"/>
      </w:pPr>
      <w:rPr>
        <w:rFonts w:ascii="Courier New" w:hAnsi="Courier New" w:hint="default"/>
      </w:rPr>
    </w:lvl>
    <w:lvl w:ilvl="2" w:tplc="0809001B" w:tentative="1">
      <w:start w:val="1"/>
      <w:numFmt w:val="bullet"/>
      <w:lvlText w:val=""/>
      <w:lvlJc w:val="left"/>
      <w:pPr>
        <w:ind w:left="2517" w:hanging="360"/>
      </w:pPr>
      <w:rPr>
        <w:rFonts w:ascii="Wingdings" w:hAnsi="Wingdings" w:hint="default"/>
      </w:rPr>
    </w:lvl>
    <w:lvl w:ilvl="3" w:tplc="0809000F" w:tentative="1">
      <w:start w:val="1"/>
      <w:numFmt w:val="bullet"/>
      <w:lvlText w:val=""/>
      <w:lvlJc w:val="left"/>
      <w:pPr>
        <w:ind w:left="3237" w:hanging="360"/>
      </w:pPr>
      <w:rPr>
        <w:rFonts w:ascii="Symbol" w:hAnsi="Symbol" w:hint="default"/>
      </w:rPr>
    </w:lvl>
    <w:lvl w:ilvl="4" w:tplc="08090019" w:tentative="1">
      <w:start w:val="1"/>
      <w:numFmt w:val="bullet"/>
      <w:lvlText w:val="o"/>
      <w:lvlJc w:val="left"/>
      <w:pPr>
        <w:ind w:left="3957" w:hanging="360"/>
      </w:pPr>
      <w:rPr>
        <w:rFonts w:ascii="Courier New" w:hAnsi="Courier New" w:hint="default"/>
      </w:rPr>
    </w:lvl>
    <w:lvl w:ilvl="5" w:tplc="0809001B" w:tentative="1">
      <w:start w:val="1"/>
      <w:numFmt w:val="bullet"/>
      <w:lvlText w:val=""/>
      <w:lvlJc w:val="left"/>
      <w:pPr>
        <w:ind w:left="4677" w:hanging="360"/>
      </w:pPr>
      <w:rPr>
        <w:rFonts w:ascii="Wingdings" w:hAnsi="Wingdings" w:hint="default"/>
      </w:rPr>
    </w:lvl>
    <w:lvl w:ilvl="6" w:tplc="0809000F" w:tentative="1">
      <w:start w:val="1"/>
      <w:numFmt w:val="bullet"/>
      <w:lvlText w:val=""/>
      <w:lvlJc w:val="left"/>
      <w:pPr>
        <w:ind w:left="5397" w:hanging="360"/>
      </w:pPr>
      <w:rPr>
        <w:rFonts w:ascii="Symbol" w:hAnsi="Symbol" w:hint="default"/>
      </w:rPr>
    </w:lvl>
    <w:lvl w:ilvl="7" w:tplc="08090019" w:tentative="1">
      <w:start w:val="1"/>
      <w:numFmt w:val="bullet"/>
      <w:lvlText w:val="o"/>
      <w:lvlJc w:val="left"/>
      <w:pPr>
        <w:ind w:left="6117" w:hanging="360"/>
      </w:pPr>
      <w:rPr>
        <w:rFonts w:ascii="Courier New" w:hAnsi="Courier New" w:hint="default"/>
      </w:rPr>
    </w:lvl>
    <w:lvl w:ilvl="8" w:tplc="0809001B" w:tentative="1">
      <w:start w:val="1"/>
      <w:numFmt w:val="bullet"/>
      <w:lvlText w:val=""/>
      <w:lvlJc w:val="left"/>
      <w:pPr>
        <w:ind w:left="6837" w:hanging="360"/>
      </w:pPr>
      <w:rPr>
        <w:rFonts w:ascii="Wingdings" w:hAnsi="Wingdings" w:hint="default"/>
      </w:rPr>
    </w:lvl>
  </w:abstractNum>
  <w:abstractNum w:abstractNumId="17">
    <w:nsid w:val="4D295DEC"/>
    <w:multiLevelType w:val="hybridMultilevel"/>
    <w:tmpl w:val="5F1AFC8C"/>
    <w:lvl w:ilvl="0" w:tplc="8D8CAAA0">
      <w:start w:val="1"/>
      <w:numFmt w:val="upperLetter"/>
      <w:lvlText w:val="%1)"/>
      <w:lvlJc w:val="left"/>
      <w:pPr>
        <w:ind w:left="720" w:hanging="360"/>
      </w:pPr>
      <w:rPr>
        <w:rFonts w:cs="Arial"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96BCB"/>
    <w:multiLevelType w:val="hybridMultilevel"/>
    <w:tmpl w:val="4336EEE2"/>
    <w:lvl w:ilvl="0" w:tplc="9D4CFB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9A3C32"/>
    <w:multiLevelType w:val="hybridMultilevel"/>
    <w:tmpl w:val="D2CEA666"/>
    <w:lvl w:ilvl="0" w:tplc="C458F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F53208D"/>
    <w:multiLevelType w:val="hybridMultilevel"/>
    <w:tmpl w:val="6FA45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331EB9"/>
    <w:multiLevelType w:val="hybridMultilevel"/>
    <w:tmpl w:val="13565116"/>
    <w:lvl w:ilvl="0" w:tplc="16F633D0">
      <w:start w:val="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nsid w:val="7B21658E"/>
    <w:multiLevelType w:val="hybridMultilevel"/>
    <w:tmpl w:val="02889780"/>
    <w:lvl w:ilvl="0" w:tplc="12689282">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nsid w:val="7F78774D"/>
    <w:multiLevelType w:val="hybridMultilevel"/>
    <w:tmpl w:val="50B48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9"/>
  </w:num>
  <w:num w:numId="4">
    <w:abstractNumId w:val="8"/>
  </w:num>
  <w:num w:numId="5">
    <w:abstractNumId w:val="22"/>
  </w:num>
  <w:num w:numId="6">
    <w:abstractNumId w:val="21"/>
  </w:num>
  <w:num w:numId="7">
    <w:abstractNumId w:val="18"/>
  </w:num>
  <w:num w:numId="8">
    <w:abstractNumId w:val="20"/>
  </w:num>
  <w:num w:numId="9">
    <w:abstractNumId w:val="5"/>
  </w:num>
  <w:num w:numId="10">
    <w:abstractNumId w:val="7"/>
  </w:num>
  <w:num w:numId="11">
    <w:abstractNumId w:val="16"/>
  </w:num>
  <w:num w:numId="12">
    <w:abstractNumId w:val="9"/>
  </w:num>
  <w:num w:numId="13">
    <w:abstractNumId w:val="17"/>
  </w:num>
  <w:num w:numId="14">
    <w:abstractNumId w:val="0"/>
  </w:num>
  <w:num w:numId="15">
    <w:abstractNumId w:val="6"/>
  </w:num>
  <w:num w:numId="16">
    <w:abstractNumId w:val="10"/>
  </w:num>
  <w:num w:numId="17">
    <w:abstractNumId w:val="23"/>
  </w:num>
  <w:num w:numId="18">
    <w:abstractNumId w:val="1"/>
  </w:num>
  <w:num w:numId="19">
    <w:abstractNumId w:val="11"/>
  </w:num>
  <w:num w:numId="20">
    <w:abstractNumId w:val="15"/>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EA2D82"/>
    <w:rsid w:val="00004913"/>
    <w:rsid w:val="000069ED"/>
    <w:rsid w:val="0000744A"/>
    <w:rsid w:val="000135BF"/>
    <w:rsid w:val="00013F22"/>
    <w:rsid w:val="00015997"/>
    <w:rsid w:val="00015DE7"/>
    <w:rsid w:val="00016928"/>
    <w:rsid w:val="00024405"/>
    <w:rsid w:val="000252B1"/>
    <w:rsid w:val="0003621A"/>
    <w:rsid w:val="0003792F"/>
    <w:rsid w:val="00040704"/>
    <w:rsid w:val="000425FB"/>
    <w:rsid w:val="0005371E"/>
    <w:rsid w:val="000558C9"/>
    <w:rsid w:val="0005739E"/>
    <w:rsid w:val="00060141"/>
    <w:rsid w:val="00060DBA"/>
    <w:rsid w:val="0006108C"/>
    <w:rsid w:val="00064659"/>
    <w:rsid w:val="00072AEA"/>
    <w:rsid w:val="00077793"/>
    <w:rsid w:val="0008425D"/>
    <w:rsid w:val="00086521"/>
    <w:rsid w:val="0008731B"/>
    <w:rsid w:val="000919AD"/>
    <w:rsid w:val="000957FC"/>
    <w:rsid w:val="0009719F"/>
    <w:rsid w:val="000A13C7"/>
    <w:rsid w:val="000A3EA5"/>
    <w:rsid w:val="000B0417"/>
    <w:rsid w:val="000B7E36"/>
    <w:rsid w:val="000C7D1E"/>
    <w:rsid w:val="000D4473"/>
    <w:rsid w:val="000D68B3"/>
    <w:rsid w:val="000E447B"/>
    <w:rsid w:val="000F1648"/>
    <w:rsid w:val="000F2A3D"/>
    <w:rsid w:val="0010022F"/>
    <w:rsid w:val="001049BE"/>
    <w:rsid w:val="001107F2"/>
    <w:rsid w:val="00112031"/>
    <w:rsid w:val="001122A5"/>
    <w:rsid w:val="00112FC0"/>
    <w:rsid w:val="00116035"/>
    <w:rsid w:val="00121211"/>
    <w:rsid w:val="001221B3"/>
    <w:rsid w:val="00124D18"/>
    <w:rsid w:val="00130DD2"/>
    <w:rsid w:val="00136554"/>
    <w:rsid w:val="00136833"/>
    <w:rsid w:val="00136A60"/>
    <w:rsid w:val="00136EBD"/>
    <w:rsid w:val="00137DCB"/>
    <w:rsid w:val="00140707"/>
    <w:rsid w:val="001408D8"/>
    <w:rsid w:val="00140903"/>
    <w:rsid w:val="00154F03"/>
    <w:rsid w:val="0016499D"/>
    <w:rsid w:val="0016533D"/>
    <w:rsid w:val="001667F3"/>
    <w:rsid w:val="00175119"/>
    <w:rsid w:val="00175137"/>
    <w:rsid w:val="001770AF"/>
    <w:rsid w:val="001770D8"/>
    <w:rsid w:val="001819C4"/>
    <w:rsid w:val="00184DED"/>
    <w:rsid w:val="0018702D"/>
    <w:rsid w:val="00190D14"/>
    <w:rsid w:val="00193AEB"/>
    <w:rsid w:val="001A2098"/>
    <w:rsid w:val="001A236A"/>
    <w:rsid w:val="001A326A"/>
    <w:rsid w:val="001A3D65"/>
    <w:rsid w:val="001B4484"/>
    <w:rsid w:val="001C177E"/>
    <w:rsid w:val="001C1AF8"/>
    <w:rsid w:val="001C211A"/>
    <w:rsid w:val="001C308B"/>
    <w:rsid w:val="001C4B9A"/>
    <w:rsid w:val="001D2B77"/>
    <w:rsid w:val="001E0C37"/>
    <w:rsid w:val="001E416A"/>
    <w:rsid w:val="001E532D"/>
    <w:rsid w:val="001E589E"/>
    <w:rsid w:val="001F2BA1"/>
    <w:rsid w:val="001F35DC"/>
    <w:rsid w:val="002038C6"/>
    <w:rsid w:val="002038F4"/>
    <w:rsid w:val="0021507C"/>
    <w:rsid w:val="002216CC"/>
    <w:rsid w:val="00222F95"/>
    <w:rsid w:val="00231817"/>
    <w:rsid w:val="002323A8"/>
    <w:rsid w:val="0023350D"/>
    <w:rsid w:val="002347E1"/>
    <w:rsid w:val="00235901"/>
    <w:rsid w:val="002402B5"/>
    <w:rsid w:val="00240CBE"/>
    <w:rsid w:val="00243857"/>
    <w:rsid w:val="00244855"/>
    <w:rsid w:val="00245D02"/>
    <w:rsid w:val="00247077"/>
    <w:rsid w:val="00251CF6"/>
    <w:rsid w:val="002536FD"/>
    <w:rsid w:val="00253C43"/>
    <w:rsid w:val="002547E8"/>
    <w:rsid w:val="00255480"/>
    <w:rsid w:val="00261CB3"/>
    <w:rsid w:val="00264758"/>
    <w:rsid w:val="002718C2"/>
    <w:rsid w:val="00276FC7"/>
    <w:rsid w:val="0028044E"/>
    <w:rsid w:val="0029461A"/>
    <w:rsid w:val="002A161D"/>
    <w:rsid w:val="002A4F6F"/>
    <w:rsid w:val="002A4FE0"/>
    <w:rsid w:val="002A70FB"/>
    <w:rsid w:val="002B4E3D"/>
    <w:rsid w:val="002C1233"/>
    <w:rsid w:val="002C342B"/>
    <w:rsid w:val="002C702F"/>
    <w:rsid w:val="002D0FCF"/>
    <w:rsid w:val="002D1125"/>
    <w:rsid w:val="002D2A66"/>
    <w:rsid w:val="002D4ACD"/>
    <w:rsid w:val="002D5B70"/>
    <w:rsid w:val="002E4C14"/>
    <w:rsid w:val="002F5F65"/>
    <w:rsid w:val="002F63C2"/>
    <w:rsid w:val="002F7676"/>
    <w:rsid w:val="003004CC"/>
    <w:rsid w:val="00300931"/>
    <w:rsid w:val="0030415D"/>
    <w:rsid w:val="00305CF2"/>
    <w:rsid w:val="003067B8"/>
    <w:rsid w:val="003102C8"/>
    <w:rsid w:val="00310BB8"/>
    <w:rsid w:val="003113A3"/>
    <w:rsid w:val="00312FCA"/>
    <w:rsid w:val="003131C3"/>
    <w:rsid w:val="00314DB6"/>
    <w:rsid w:val="00317917"/>
    <w:rsid w:val="003273CE"/>
    <w:rsid w:val="0032751C"/>
    <w:rsid w:val="00333579"/>
    <w:rsid w:val="00334066"/>
    <w:rsid w:val="00335181"/>
    <w:rsid w:val="00344C3A"/>
    <w:rsid w:val="00345329"/>
    <w:rsid w:val="00351ED6"/>
    <w:rsid w:val="00354CA3"/>
    <w:rsid w:val="0036319C"/>
    <w:rsid w:val="003701EA"/>
    <w:rsid w:val="003708D1"/>
    <w:rsid w:val="00372310"/>
    <w:rsid w:val="0037673D"/>
    <w:rsid w:val="00383843"/>
    <w:rsid w:val="00385A5F"/>
    <w:rsid w:val="00387881"/>
    <w:rsid w:val="00391B5C"/>
    <w:rsid w:val="00394AA8"/>
    <w:rsid w:val="003A1E18"/>
    <w:rsid w:val="003A4A48"/>
    <w:rsid w:val="003A56A7"/>
    <w:rsid w:val="003A6F7C"/>
    <w:rsid w:val="003B2018"/>
    <w:rsid w:val="003C236F"/>
    <w:rsid w:val="003C6055"/>
    <w:rsid w:val="003C671F"/>
    <w:rsid w:val="003C7BDF"/>
    <w:rsid w:val="003D1479"/>
    <w:rsid w:val="003D449A"/>
    <w:rsid w:val="003D4AB8"/>
    <w:rsid w:val="003D6FF1"/>
    <w:rsid w:val="003E1558"/>
    <w:rsid w:val="003E4AF6"/>
    <w:rsid w:val="003E5AF4"/>
    <w:rsid w:val="003E68F1"/>
    <w:rsid w:val="003E6F8C"/>
    <w:rsid w:val="003F0F4A"/>
    <w:rsid w:val="003F4054"/>
    <w:rsid w:val="004007D8"/>
    <w:rsid w:val="00404049"/>
    <w:rsid w:val="00404AA3"/>
    <w:rsid w:val="004113F1"/>
    <w:rsid w:val="00415CD2"/>
    <w:rsid w:val="00416D7A"/>
    <w:rsid w:val="0042218D"/>
    <w:rsid w:val="00424B13"/>
    <w:rsid w:val="0042790D"/>
    <w:rsid w:val="0043043A"/>
    <w:rsid w:val="00433044"/>
    <w:rsid w:val="00433BBE"/>
    <w:rsid w:val="004348BC"/>
    <w:rsid w:val="004422C0"/>
    <w:rsid w:val="00442C7A"/>
    <w:rsid w:val="00443409"/>
    <w:rsid w:val="00446929"/>
    <w:rsid w:val="00455273"/>
    <w:rsid w:val="00457743"/>
    <w:rsid w:val="00464309"/>
    <w:rsid w:val="00466756"/>
    <w:rsid w:val="00484481"/>
    <w:rsid w:val="00484725"/>
    <w:rsid w:val="004873F6"/>
    <w:rsid w:val="0049587C"/>
    <w:rsid w:val="004970A0"/>
    <w:rsid w:val="004A02C0"/>
    <w:rsid w:val="004A0325"/>
    <w:rsid w:val="004A197B"/>
    <w:rsid w:val="004B43F2"/>
    <w:rsid w:val="004B7BE4"/>
    <w:rsid w:val="004C0258"/>
    <w:rsid w:val="004C3C79"/>
    <w:rsid w:val="004C59FE"/>
    <w:rsid w:val="004D12B5"/>
    <w:rsid w:val="004D1F67"/>
    <w:rsid w:val="004D461C"/>
    <w:rsid w:val="004D73EF"/>
    <w:rsid w:val="004E0416"/>
    <w:rsid w:val="004F2716"/>
    <w:rsid w:val="004F4522"/>
    <w:rsid w:val="004F76CE"/>
    <w:rsid w:val="004F79B2"/>
    <w:rsid w:val="004F7CBA"/>
    <w:rsid w:val="00500454"/>
    <w:rsid w:val="00502217"/>
    <w:rsid w:val="00512CB0"/>
    <w:rsid w:val="00513309"/>
    <w:rsid w:val="00516938"/>
    <w:rsid w:val="00520862"/>
    <w:rsid w:val="005343BF"/>
    <w:rsid w:val="005440BD"/>
    <w:rsid w:val="00552176"/>
    <w:rsid w:val="00553753"/>
    <w:rsid w:val="0056058A"/>
    <w:rsid w:val="0057008E"/>
    <w:rsid w:val="00570794"/>
    <w:rsid w:val="005712F0"/>
    <w:rsid w:val="00572E6C"/>
    <w:rsid w:val="00575079"/>
    <w:rsid w:val="005808E2"/>
    <w:rsid w:val="005827EC"/>
    <w:rsid w:val="0059205C"/>
    <w:rsid w:val="00597407"/>
    <w:rsid w:val="005A10AA"/>
    <w:rsid w:val="005A1AAA"/>
    <w:rsid w:val="005A2484"/>
    <w:rsid w:val="005A3B0C"/>
    <w:rsid w:val="005B43F2"/>
    <w:rsid w:val="005B5D09"/>
    <w:rsid w:val="005B6BFD"/>
    <w:rsid w:val="005C2F7F"/>
    <w:rsid w:val="005C6B93"/>
    <w:rsid w:val="005D26D9"/>
    <w:rsid w:val="005D27EB"/>
    <w:rsid w:val="005D47C6"/>
    <w:rsid w:val="005D7F29"/>
    <w:rsid w:val="005E2D52"/>
    <w:rsid w:val="005E7C0F"/>
    <w:rsid w:val="005E7D9C"/>
    <w:rsid w:val="005F0FB9"/>
    <w:rsid w:val="005F46F2"/>
    <w:rsid w:val="005F4A43"/>
    <w:rsid w:val="005F5B43"/>
    <w:rsid w:val="00602EE0"/>
    <w:rsid w:val="00604A81"/>
    <w:rsid w:val="00605F6B"/>
    <w:rsid w:val="00614467"/>
    <w:rsid w:val="006278AB"/>
    <w:rsid w:val="0063078C"/>
    <w:rsid w:val="00630A17"/>
    <w:rsid w:val="0063612F"/>
    <w:rsid w:val="0064002B"/>
    <w:rsid w:val="006428EA"/>
    <w:rsid w:val="006446CB"/>
    <w:rsid w:val="00646777"/>
    <w:rsid w:val="006526ED"/>
    <w:rsid w:val="00652D40"/>
    <w:rsid w:val="0066017A"/>
    <w:rsid w:val="00662E3E"/>
    <w:rsid w:val="0066377E"/>
    <w:rsid w:val="00665D79"/>
    <w:rsid w:val="00667BA4"/>
    <w:rsid w:val="00674FEC"/>
    <w:rsid w:val="00676F65"/>
    <w:rsid w:val="0068048D"/>
    <w:rsid w:val="00681C13"/>
    <w:rsid w:val="006868F6"/>
    <w:rsid w:val="00690335"/>
    <w:rsid w:val="00697D47"/>
    <w:rsid w:val="006A24F0"/>
    <w:rsid w:val="006A32C9"/>
    <w:rsid w:val="006B1B76"/>
    <w:rsid w:val="006B2392"/>
    <w:rsid w:val="006B5C0C"/>
    <w:rsid w:val="006B64BB"/>
    <w:rsid w:val="006B7593"/>
    <w:rsid w:val="006C1B06"/>
    <w:rsid w:val="006C2219"/>
    <w:rsid w:val="006C6621"/>
    <w:rsid w:val="006C7ACE"/>
    <w:rsid w:val="006D0801"/>
    <w:rsid w:val="006D0F48"/>
    <w:rsid w:val="006D459A"/>
    <w:rsid w:val="006D6C55"/>
    <w:rsid w:val="006D7A33"/>
    <w:rsid w:val="006E0B91"/>
    <w:rsid w:val="006F318D"/>
    <w:rsid w:val="006F6A33"/>
    <w:rsid w:val="006F723C"/>
    <w:rsid w:val="006F7325"/>
    <w:rsid w:val="006F7D67"/>
    <w:rsid w:val="007001CC"/>
    <w:rsid w:val="007005D2"/>
    <w:rsid w:val="00700A2A"/>
    <w:rsid w:val="00700B1C"/>
    <w:rsid w:val="007075F1"/>
    <w:rsid w:val="00712C80"/>
    <w:rsid w:val="0071322E"/>
    <w:rsid w:val="007149FE"/>
    <w:rsid w:val="0072079D"/>
    <w:rsid w:val="00721033"/>
    <w:rsid w:val="00723B09"/>
    <w:rsid w:val="007258C8"/>
    <w:rsid w:val="00726B7C"/>
    <w:rsid w:val="00726F3C"/>
    <w:rsid w:val="00732700"/>
    <w:rsid w:val="007331EE"/>
    <w:rsid w:val="00742508"/>
    <w:rsid w:val="00752165"/>
    <w:rsid w:val="00760A3B"/>
    <w:rsid w:val="007617E7"/>
    <w:rsid w:val="007666A8"/>
    <w:rsid w:val="007735DC"/>
    <w:rsid w:val="007754B4"/>
    <w:rsid w:val="007756D5"/>
    <w:rsid w:val="00785174"/>
    <w:rsid w:val="007875EE"/>
    <w:rsid w:val="00793F17"/>
    <w:rsid w:val="00797CCD"/>
    <w:rsid w:val="007A04BB"/>
    <w:rsid w:val="007A1B1D"/>
    <w:rsid w:val="007A2447"/>
    <w:rsid w:val="007A3F3F"/>
    <w:rsid w:val="007B2B41"/>
    <w:rsid w:val="007B3E5D"/>
    <w:rsid w:val="007C284A"/>
    <w:rsid w:val="007C445C"/>
    <w:rsid w:val="007C5994"/>
    <w:rsid w:val="007C7034"/>
    <w:rsid w:val="007D0D57"/>
    <w:rsid w:val="007D4311"/>
    <w:rsid w:val="007D4726"/>
    <w:rsid w:val="007D7FFD"/>
    <w:rsid w:val="007E4202"/>
    <w:rsid w:val="007E5A9A"/>
    <w:rsid w:val="007E7ED1"/>
    <w:rsid w:val="007F5E96"/>
    <w:rsid w:val="007F6119"/>
    <w:rsid w:val="00802E1A"/>
    <w:rsid w:val="00807373"/>
    <w:rsid w:val="00810CAD"/>
    <w:rsid w:val="0081182F"/>
    <w:rsid w:val="00813601"/>
    <w:rsid w:val="00816F2B"/>
    <w:rsid w:val="00817A25"/>
    <w:rsid w:val="008203D9"/>
    <w:rsid w:val="00823369"/>
    <w:rsid w:val="00824CDF"/>
    <w:rsid w:val="00825883"/>
    <w:rsid w:val="00830024"/>
    <w:rsid w:val="0083086B"/>
    <w:rsid w:val="008317AE"/>
    <w:rsid w:val="00833CB3"/>
    <w:rsid w:val="00836816"/>
    <w:rsid w:val="00836963"/>
    <w:rsid w:val="00843899"/>
    <w:rsid w:val="00845B22"/>
    <w:rsid w:val="0084625B"/>
    <w:rsid w:val="0085446D"/>
    <w:rsid w:val="00855CCF"/>
    <w:rsid w:val="00856337"/>
    <w:rsid w:val="008629EF"/>
    <w:rsid w:val="00864109"/>
    <w:rsid w:val="00866173"/>
    <w:rsid w:val="00871246"/>
    <w:rsid w:val="0087181A"/>
    <w:rsid w:val="008720FE"/>
    <w:rsid w:val="00872242"/>
    <w:rsid w:val="00883D19"/>
    <w:rsid w:val="00885DEA"/>
    <w:rsid w:val="00887035"/>
    <w:rsid w:val="00891705"/>
    <w:rsid w:val="00897A3C"/>
    <w:rsid w:val="008A3DCC"/>
    <w:rsid w:val="008A499B"/>
    <w:rsid w:val="008A56A1"/>
    <w:rsid w:val="008A647A"/>
    <w:rsid w:val="008B38C5"/>
    <w:rsid w:val="008C0D4E"/>
    <w:rsid w:val="008C28A0"/>
    <w:rsid w:val="008C7CB3"/>
    <w:rsid w:val="008D0C6A"/>
    <w:rsid w:val="008D202A"/>
    <w:rsid w:val="008E08B0"/>
    <w:rsid w:val="008E10EB"/>
    <w:rsid w:val="008E1207"/>
    <w:rsid w:val="008E15AA"/>
    <w:rsid w:val="008F47F8"/>
    <w:rsid w:val="008F5D80"/>
    <w:rsid w:val="008F5E3F"/>
    <w:rsid w:val="00902133"/>
    <w:rsid w:val="00903F28"/>
    <w:rsid w:val="0090706D"/>
    <w:rsid w:val="00926EE0"/>
    <w:rsid w:val="00932212"/>
    <w:rsid w:val="00933393"/>
    <w:rsid w:val="009335CE"/>
    <w:rsid w:val="009344A6"/>
    <w:rsid w:val="0095740F"/>
    <w:rsid w:val="00960D9C"/>
    <w:rsid w:val="0096150C"/>
    <w:rsid w:val="00961A13"/>
    <w:rsid w:val="00964477"/>
    <w:rsid w:val="00965675"/>
    <w:rsid w:val="00967C97"/>
    <w:rsid w:val="00970B2E"/>
    <w:rsid w:val="00975583"/>
    <w:rsid w:val="00976DEB"/>
    <w:rsid w:val="00977247"/>
    <w:rsid w:val="0098197C"/>
    <w:rsid w:val="00984AEE"/>
    <w:rsid w:val="009862A5"/>
    <w:rsid w:val="0098649B"/>
    <w:rsid w:val="00990FB1"/>
    <w:rsid w:val="00991282"/>
    <w:rsid w:val="00991A10"/>
    <w:rsid w:val="00991DA3"/>
    <w:rsid w:val="009935AF"/>
    <w:rsid w:val="009A18FE"/>
    <w:rsid w:val="009A4E90"/>
    <w:rsid w:val="009A630C"/>
    <w:rsid w:val="009A78D9"/>
    <w:rsid w:val="009B639D"/>
    <w:rsid w:val="009C4212"/>
    <w:rsid w:val="009C6E1D"/>
    <w:rsid w:val="009D3D6C"/>
    <w:rsid w:val="009D3DF0"/>
    <w:rsid w:val="009F26A0"/>
    <w:rsid w:val="009F47ED"/>
    <w:rsid w:val="009F779A"/>
    <w:rsid w:val="00A00A92"/>
    <w:rsid w:val="00A014AA"/>
    <w:rsid w:val="00A02565"/>
    <w:rsid w:val="00A03C3D"/>
    <w:rsid w:val="00A06854"/>
    <w:rsid w:val="00A1477E"/>
    <w:rsid w:val="00A260AB"/>
    <w:rsid w:val="00A26DC0"/>
    <w:rsid w:val="00A3181B"/>
    <w:rsid w:val="00A33735"/>
    <w:rsid w:val="00A33969"/>
    <w:rsid w:val="00A346A1"/>
    <w:rsid w:val="00A347C1"/>
    <w:rsid w:val="00A357EF"/>
    <w:rsid w:val="00A3742D"/>
    <w:rsid w:val="00A40FE6"/>
    <w:rsid w:val="00A41F21"/>
    <w:rsid w:val="00A47BC2"/>
    <w:rsid w:val="00A519C3"/>
    <w:rsid w:val="00A535D4"/>
    <w:rsid w:val="00A53DA9"/>
    <w:rsid w:val="00A54D9B"/>
    <w:rsid w:val="00A55DA5"/>
    <w:rsid w:val="00A57CBF"/>
    <w:rsid w:val="00A63EC6"/>
    <w:rsid w:val="00A64507"/>
    <w:rsid w:val="00A67464"/>
    <w:rsid w:val="00A73C45"/>
    <w:rsid w:val="00A7792F"/>
    <w:rsid w:val="00A81BCF"/>
    <w:rsid w:val="00A82FAE"/>
    <w:rsid w:val="00A855E2"/>
    <w:rsid w:val="00A8650A"/>
    <w:rsid w:val="00A92802"/>
    <w:rsid w:val="00A93A7D"/>
    <w:rsid w:val="00A94B48"/>
    <w:rsid w:val="00A971DD"/>
    <w:rsid w:val="00A97C63"/>
    <w:rsid w:val="00AA3028"/>
    <w:rsid w:val="00AA6C86"/>
    <w:rsid w:val="00AA77F8"/>
    <w:rsid w:val="00AC135A"/>
    <w:rsid w:val="00AC3AA1"/>
    <w:rsid w:val="00AC40B3"/>
    <w:rsid w:val="00AC5EE2"/>
    <w:rsid w:val="00AC7503"/>
    <w:rsid w:val="00AC79D5"/>
    <w:rsid w:val="00AD0141"/>
    <w:rsid w:val="00AD1284"/>
    <w:rsid w:val="00AD3968"/>
    <w:rsid w:val="00AD4C83"/>
    <w:rsid w:val="00AD5616"/>
    <w:rsid w:val="00AD597D"/>
    <w:rsid w:val="00AD59EB"/>
    <w:rsid w:val="00AE026A"/>
    <w:rsid w:val="00AE24A9"/>
    <w:rsid w:val="00AE3FDC"/>
    <w:rsid w:val="00AE4329"/>
    <w:rsid w:val="00AE56CD"/>
    <w:rsid w:val="00AF0BAC"/>
    <w:rsid w:val="00AF48DC"/>
    <w:rsid w:val="00B01823"/>
    <w:rsid w:val="00B10714"/>
    <w:rsid w:val="00B14131"/>
    <w:rsid w:val="00B16705"/>
    <w:rsid w:val="00B24570"/>
    <w:rsid w:val="00B24E55"/>
    <w:rsid w:val="00B24F5A"/>
    <w:rsid w:val="00B25359"/>
    <w:rsid w:val="00B25B18"/>
    <w:rsid w:val="00B2623E"/>
    <w:rsid w:val="00B26A8A"/>
    <w:rsid w:val="00B3532A"/>
    <w:rsid w:val="00B46C8D"/>
    <w:rsid w:val="00B51A8A"/>
    <w:rsid w:val="00B5645F"/>
    <w:rsid w:val="00B57576"/>
    <w:rsid w:val="00B6262B"/>
    <w:rsid w:val="00B6693B"/>
    <w:rsid w:val="00B70408"/>
    <w:rsid w:val="00B732A3"/>
    <w:rsid w:val="00B8074C"/>
    <w:rsid w:val="00B81CCE"/>
    <w:rsid w:val="00B82D6D"/>
    <w:rsid w:val="00B82E48"/>
    <w:rsid w:val="00B87E94"/>
    <w:rsid w:val="00B9058D"/>
    <w:rsid w:val="00B93606"/>
    <w:rsid w:val="00B96E63"/>
    <w:rsid w:val="00BA3030"/>
    <w:rsid w:val="00BA329F"/>
    <w:rsid w:val="00BA3F39"/>
    <w:rsid w:val="00BA5685"/>
    <w:rsid w:val="00BA568F"/>
    <w:rsid w:val="00BC446E"/>
    <w:rsid w:val="00BC5AD2"/>
    <w:rsid w:val="00BC6819"/>
    <w:rsid w:val="00BD1A60"/>
    <w:rsid w:val="00BE02AF"/>
    <w:rsid w:val="00BE0327"/>
    <w:rsid w:val="00BE0B5A"/>
    <w:rsid w:val="00BE405A"/>
    <w:rsid w:val="00BE7849"/>
    <w:rsid w:val="00C10A6C"/>
    <w:rsid w:val="00C12977"/>
    <w:rsid w:val="00C129B5"/>
    <w:rsid w:val="00C13FEC"/>
    <w:rsid w:val="00C15679"/>
    <w:rsid w:val="00C1767C"/>
    <w:rsid w:val="00C2221F"/>
    <w:rsid w:val="00C239A4"/>
    <w:rsid w:val="00C27A5A"/>
    <w:rsid w:val="00C30080"/>
    <w:rsid w:val="00C41F8E"/>
    <w:rsid w:val="00C42699"/>
    <w:rsid w:val="00C50BC7"/>
    <w:rsid w:val="00C54233"/>
    <w:rsid w:val="00C60EE8"/>
    <w:rsid w:val="00C61291"/>
    <w:rsid w:val="00C62DE7"/>
    <w:rsid w:val="00C648FC"/>
    <w:rsid w:val="00C65525"/>
    <w:rsid w:val="00C670B7"/>
    <w:rsid w:val="00C70069"/>
    <w:rsid w:val="00C77B0E"/>
    <w:rsid w:val="00C93C19"/>
    <w:rsid w:val="00C94FE6"/>
    <w:rsid w:val="00CA2B0F"/>
    <w:rsid w:val="00CA2DAB"/>
    <w:rsid w:val="00CA3E04"/>
    <w:rsid w:val="00CA4779"/>
    <w:rsid w:val="00CB17BB"/>
    <w:rsid w:val="00CB2F1E"/>
    <w:rsid w:val="00CB33F7"/>
    <w:rsid w:val="00CB3AB8"/>
    <w:rsid w:val="00CB3D0E"/>
    <w:rsid w:val="00CB424A"/>
    <w:rsid w:val="00CB51BF"/>
    <w:rsid w:val="00CC2A6B"/>
    <w:rsid w:val="00CC3940"/>
    <w:rsid w:val="00CC3F8D"/>
    <w:rsid w:val="00CC4B12"/>
    <w:rsid w:val="00CD1376"/>
    <w:rsid w:val="00CD1DB4"/>
    <w:rsid w:val="00CD2A8C"/>
    <w:rsid w:val="00CD304B"/>
    <w:rsid w:val="00CD30B1"/>
    <w:rsid w:val="00CD38DC"/>
    <w:rsid w:val="00CD40CD"/>
    <w:rsid w:val="00CD6D1B"/>
    <w:rsid w:val="00CD713F"/>
    <w:rsid w:val="00CD7D95"/>
    <w:rsid w:val="00CE0551"/>
    <w:rsid w:val="00CE1B50"/>
    <w:rsid w:val="00CE2EC9"/>
    <w:rsid w:val="00CE317F"/>
    <w:rsid w:val="00D0726E"/>
    <w:rsid w:val="00D158C3"/>
    <w:rsid w:val="00D17744"/>
    <w:rsid w:val="00D23398"/>
    <w:rsid w:val="00D33BAC"/>
    <w:rsid w:val="00D34327"/>
    <w:rsid w:val="00D35AD8"/>
    <w:rsid w:val="00D525B1"/>
    <w:rsid w:val="00D55482"/>
    <w:rsid w:val="00D61D7F"/>
    <w:rsid w:val="00D63F8A"/>
    <w:rsid w:val="00D74767"/>
    <w:rsid w:val="00D74FE0"/>
    <w:rsid w:val="00D76A92"/>
    <w:rsid w:val="00D85935"/>
    <w:rsid w:val="00D85FC1"/>
    <w:rsid w:val="00D879C1"/>
    <w:rsid w:val="00D94236"/>
    <w:rsid w:val="00D95904"/>
    <w:rsid w:val="00D97BF9"/>
    <w:rsid w:val="00DA33CA"/>
    <w:rsid w:val="00DB4FED"/>
    <w:rsid w:val="00DB6DB7"/>
    <w:rsid w:val="00DC601F"/>
    <w:rsid w:val="00DC7AC6"/>
    <w:rsid w:val="00DD180A"/>
    <w:rsid w:val="00DD4FCB"/>
    <w:rsid w:val="00DD769D"/>
    <w:rsid w:val="00DE0BD6"/>
    <w:rsid w:val="00DE2AE4"/>
    <w:rsid w:val="00DE70DC"/>
    <w:rsid w:val="00DE7D83"/>
    <w:rsid w:val="00DF055E"/>
    <w:rsid w:val="00DF5A72"/>
    <w:rsid w:val="00DF6AED"/>
    <w:rsid w:val="00E01161"/>
    <w:rsid w:val="00E03EC0"/>
    <w:rsid w:val="00E06A96"/>
    <w:rsid w:val="00E077C9"/>
    <w:rsid w:val="00E13777"/>
    <w:rsid w:val="00E13A9F"/>
    <w:rsid w:val="00E228E5"/>
    <w:rsid w:val="00E27146"/>
    <w:rsid w:val="00E31880"/>
    <w:rsid w:val="00E44599"/>
    <w:rsid w:val="00E45DF4"/>
    <w:rsid w:val="00E51560"/>
    <w:rsid w:val="00E53283"/>
    <w:rsid w:val="00E53975"/>
    <w:rsid w:val="00E557D1"/>
    <w:rsid w:val="00E56C99"/>
    <w:rsid w:val="00E576CB"/>
    <w:rsid w:val="00E62B4C"/>
    <w:rsid w:val="00E70C34"/>
    <w:rsid w:val="00E70E7C"/>
    <w:rsid w:val="00E73AB1"/>
    <w:rsid w:val="00E77A1A"/>
    <w:rsid w:val="00E835D9"/>
    <w:rsid w:val="00E83FAC"/>
    <w:rsid w:val="00E855AD"/>
    <w:rsid w:val="00E87936"/>
    <w:rsid w:val="00E91FC9"/>
    <w:rsid w:val="00E927E0"/>
    <w:rsid w:val="00E9343E"/>
    <w:rsid w:val="00E96D90"/>
    <w:rsid w:val="00E96EA4"/>
    <w:rsid w:val="00EA18BE"/>
    <w:rsid w:val="00EA23E3"/>
    <w:rsid w:val="00EA28BB"/>
    <w:rsid w:val="00EA2964"/>
    <w:rsid w:val="00EA2D82"/>
    <w:rsid w:val="00EA536D"/>
    <w:rsid w:val="00EA57AE"/>
    <w:rsid w:val="00EA70F8"/>
    <w:rsid w:val="00EB1EB5"/>
    <w:rsid w:val="00EB252E"/>
    <w:rsid w:val="00EB3340"/>
    <w:rsid w:val="00EB3E82"/>
    <w:rsid w:val="00EC3A24"/>
    <w:rsid w:val="00EC3BB3"/>
    <w:rsid w:val="00EC46CE"/>
    <w:rsid w:val="00EC5F30"/>
    <w:rsid w:val="00EC5FBE"/>
    <w:rsid w:val="00ED1160"/>
    <w:rsid w:val="00ED3C94"/>
    <w:rsid w:val="00ED476E"/>
    <w:rsid w:val="00ED4907"/>
    <w:rsid w:val="00EF23D1"/>
    <w:rsid w:val="00EF354D"/>
    <w:rsid w:val="00F00404"/>
    <w:rsid w:val="00F157BE"/>
    <w:rsid w:val="00F15D21"/>
    <w:rsid w:val="00F16DD2"/>
    <w:rsid w:val="00F2045C"/>
    <w:rsid w:val="00F24FEC"/>
    <w:rsid w:val="00F268E6"/>
    <w:rsid w:val="00F31ED6"/>
    <w:rsid w:val="00F333DA"/>
    <w:rsid w:val="00F371BA"/>
    <w:rsid w:val="00F37DE5"/>
    <w:rsid w:val="00F41414"/>
    <w:rsid w:val="00F43BFF"/>
    <w:rsid w:val="00F44D9C"/>
    <w:rsid w:val="00F4637C"/>
    <w:rsid w:val="00F46C92"/>
    <w:rsid w:val="00F46C98"/>
    <w:rsid w:val="00F50B81"/>
    <w:rsid w:val="00F50BC2"/>
    <w:rsid w:val="00F529C7"/>
    <w:rsid w:val="00F5717A"/>
    <w:rsid w:val="00F710EE"/>
    <w:rsid w:val="00F7164A"/>
    <w:rsid w:val="00F71C4B"/>
    <w:rsid w:val="00F80371"/>
    <w:rsid w:val="00F80ACA"/>
    <w:rsid w:val="00F84AE3"/>
    <w:rsid w:val="00F940C8"/>
    <w:rsid w:val="00FA0762"/>
    <w:rsid w:val="00FA3C38"/>
    <w:rsid w:val="00FA4A1F"/>
    <w:rsid w:val="00FA7AC5"/>
    <w:rsid w:val="00FB4A1E"/>
    <w:rsid w:val="00FB4A71"/>
    <w:rsid w:val="00FB6682"/>
    <w:rsid w:val="00FC62A4"/>
    <w:rsid w:val="00FC7A4D"/>
    <w:rsid w:val="00FD5346"/>
    <w:rsid w:val="00FD5ECF"/>
    <w:rsid w:val="00FD79EA"/>
    <w:rsid w:val="00FE0B42"/>
    <w:rsid w:val="00FE4B75"/>
    <w:rsid w:val="00FE4D24"/>
    <w:rsid w:val="00FE637E"/>
    <w:rsid w:val="00FF36DB"/>
    <w:rsid w:val="00FF6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D8"/>
    <w:pPr>
      <w:spacing w:line="360" w:lineRule="auto"/>
      <w:jc w:val="both"/>
    </w:pPr>
    <w:rPr>
      <w:rFonts w:ascii="Arial" w:hAnsi="Arial"/>
      <w:sz w:val="22"/>
      <w:szCs w:val="22"/>
      <w:lang w:val="en-GB"/>
    </w:rPr>
  </w:style>
  <w:style w:type="paragraph" w:styleId="Heading1">
    <w:name w:val="heading 1"/>
    <w:basedOn w:val="Normal"/>
    <w:next w:val="Normal"/>
    <w:qFormat/>
    <w:rsid w:val="006868F6"/>
    <w:pPr>
      <w:widowControl w:val="0"/>
      <w:numPr>
        <w:numId w:val="2"/>
      </w:numPr>
      <w:tabs>
        <w:tab w:val="left" w:pos="567"/>
      </w:tabs>
      <w:spacing w:before="240" w:after="60"/>
      <w:outlineLvl w:val="0"/>
    </w:pPr>
    <w:rPr>
      <w:rFonts w:cs="Arial"/>
      <w:b/>
      <w:bCs/>
      <w:caps/>
      <w:kern w:val="32"/>
    </w:rPr>
  </w:style>
  <w:style w:type="paragraph" w:styleId="Heading2">
    <w:name w:val="heading 2"/>
    <w:basedOn w:val="Normal"/>
    <w:next w:val="Normal"/>
    <w:autoRedefine/>
    <w:qFormat/>
    <w:rsid w:val="003A4A48"/>
    <w:pPr>
      <w:keepNext/>
      <w:numPr>
        <w:ilvl w:val="1"/>
        <w:numId w:val="2"/>
      </w:numPr>
      <w:outlineLvl w:val="1"/>
    </w:pPr>
    <w:rPr>
      <w:rFonts w:cs="Arial"/>
      <w:b/>
      <w:bCs/>
      <w:iCs/>
      <w:szCs w:val="28"/>
    </w:rPr>
  </w:style>
  <w:style w:type="paragraph" w:styleId="Heading3">
    <w:name w:val="heading 3"/>
    <w:basedOn w:val="Normal"/>
    <w:next w:val="Normal"/>
    <w:link w:val="Heading3Char"/>
    <w:autoRedefine/>
    <w:qFormat/>
    <w:rsid w:val="00760A3B"/>
    <w:pPr>
      <w:keepNext/>
      <w:numPr>
        <w:ilvl w:val="2"/>
        <w:numId w:val="2"/>
      </w:numPr>
      <w:spacing w:before="240" w:after="60"/>
      <w:outlineLvl w:val="2"/>
    </w:pPr>
    <w:rPr>
      <w:rFonts w:cs="Arial"/>
      <w:b/>
      <w:bCs/>
      <w:szCs w:val="26"/>
    </w:rPr>
  </w:style>
  <w:style w:type="paragraph" w:styleId="Heading4">
    <w:name w:val="heading 4"/>
    <w:basedOn w:val="Normal"/>
    <w:next w:val="Normal"/>
    <w:autoRedefine/>
    <w:qFormat/>
    <w:rsid w:val="006868F6"/>
    <w:pPr>
      <w:keepNext/>
      <w:numPr>
        <w:ilvl w:val="3"/>
        <w:numId w:val="2"/>
      </w:numPr>
      <w:outlineLvl w:val="3"/>
    </w:pPr>
    <w:rPr>
      <w:b/>
      <w:color w:val="000000"/>
      <w:szCs w:val="20"/>
    </w:rPr>
  </w:style>
  <w:style w:type="paragraph" w:styleId="Heading5">
    <w:name w:val="heading 5"/>
    <w:basedOn w:val="Normal"/>
    <w:next w:val="Normal"/>
    <w:autoRedefine/>
    <w:qFormat/>
    <w:rsid w:val="006868F6"/>
    <w:pPr>
      <w:numPr>
        <w:ilvl w:val="4"/>
        <w:numId w:val="2"/>
      </w:numPr>
      <w:jc w:val="left"/>
      <w:outlineLvl w:val="4"/>
    </w:pPr>
    <w:rPr>
      <w:i/>
      <w:szCs w:val="20"/>
    </w:rPr>
  </w:style>
  <w:style w:type="paragraph" w:styleId="Heading6">
    <w:name w:val="heading 6"/>
    <w:basedOn w:val="Normal"/>
    <w:next w:val="Normal"/>
    <w:qFormat/>
    <w:rsid w:val="006868F6"/>
    <w:pPr>
      <w:keepNext/>
      <w:numPr>
        <w:ilvl w:val="5"/>
        <w:numId w:val="2"/>
      </w:numPr>
      <w:spacing w:before="240" w:after="240" w:line="240" w:lineRule="auto"/>
      <w:jc w:val="center"/>
      <w:outlineLvl w:val="5"/>
    </w:pPr>
    <w:rPr>
      <w:b/>
      <w:bCs/>
      <w:szCs w:val="20"/>
    </w:rPr>
  </w:style>
  <w:style w:type="paragraph" w:styleId="Heading7">
    <w:name w:val="heading 7"/>
    <w:basedOn w:val="Normal"/>
    <w:next w:val="Normal"/>
    <w:qFormat/>
    <w:rsid w:val="006868F6"/>
    <w:pPr>
      <w:keepNext/>
      <w:numPr>
        <w:ilvl w:val="6"/>
        <w:numId w:val="2"/>
      </w:numPr>
      <w:spacing w:line="240" w:lineRule="auto"/>
      <w:jc w:val="center"/>
      <w:outlineLvl w:val="6"/>
    </w:pPr>
    <w:rPr>
      <w:b/>
      <w:color w:val="000000"/>
      <w:szCs w:val="20"/>
    </w:rPr>
  </w:style>
  <w:style w:type="paragraph" w:styleId="Heading8">
    <w:name w:val="heading 8"/>
    <w:basedOn w:val="Normal"/>
    <w:next w:val="Normal"/>
    <w:autoRedefine/>
    <w:qFormat/>
    <w:rsid w:val="006868F6"/>
    <w:pPr>
      <w:keepNext/>
      <w:numPr>
        <w:ilvl w:val="7"/>
        <w:numId w:val="2"/>
      </w:numPr>
      <w:jc w:val="left"/>
      <w:outlineLvl w:val="7"/>
    </w:pPr>
    <w:rPr>
      <w:rFonts w:cs="Arial"/>
      <w:i/>
      <w:iCs/>
      <w:color w:val="000000"/>
      <w:szCs w:val="20"/>
      <w:u w:val="single"/>
    </w:rPr>
  </w:style>
  <w:style w:type="paragraph" w:styleId="Heading9">
    <w:name w:val="heading 9"/>
    <w:basedOn w:val="Normal"/>
    <w:next w:val="Normal"/>
    <w:qFormat/>
    <w:rsid w:val="006868F6"/>
    <w:pPr>
      <w:numPr>
        <w:ilvl w:val="8"/>
        <w:numId w:val="2"/>
      </w:numPr>
      <w:spacing w:before="240" w:after="60" w:line="240" w:lineRule="auto"/>
      <w:jc w:val="left"/>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rsid w:val="006868F6"/>
    <w:pPr>
      <w:spacing w:before="80" w:after="80" w:line="240" w:lineRule="auto"/>
      <w:ind w:right="-108"/>
      <w:jc w:val="left"/>
    </w:pPr>
  </w:style>
  <w:style w:type="paragraph" w:styleId="Footer">
    <w:name w:val="footer"/>
    <w:basedOn w:val="Normal"/>
    <w:autoRedefine/>
    <w:rsid w:val="002718C2"/>
    <w:pPr>
      <w:tabs>
        <w:tab w:val="center" w:pos="4153"/>
        <w:tab w:val="right" w:pos="8306"/>
      </w:tabs>
      <w:spacing w:line="240" w:lineRule="exact"/>
    </w:pPr>
  </w:style>
  <w:style w:type="paragraph" w:customStyle="1" w:styleId="NormalBullet">
    <w:name w:val="Normal Bullet"/>
    <w:basedOn w:val="NormalIndent"/>
    <w:rsid w:val="00DB6DB7"/>
    <w:pPr>
      <w:numPr>
        <w:numId w:val="1"/>
      </w:numPr>
      <w:tabs>
        <w:tab w:val="clear" w:pos="648"/>
        <w:tab w:val="num" w:pos="993"/>
      </w:tabs>
      <w:ind w:left="993" w:hanging="426"/>
    </w:pPr>
  </w:style>
  <w:style w:type="paragraph" w:styleId="NormalIndent">
    <w:name w:val="Normal Indent"/>
    <w:basedOn w:val="Normal"/>
    <w:rsid w:val="004970A0"/>
    <w:pPr>
      <w:ind w:left="567"/>
    </w:pPr>
  </w:style>
  <w:style w:type="paragraph" w:styleId="TOC1">
    <w:name w:val="toc 1"/>
    <w:basedOn w:val="Normal"/>
    <w:next w:val="Normal"/>
    <w:autoRedefine/>
    <w:uiPriority w:val="39"/>
    <w:rsid w:val="006868F6"/>
    <w:pPr>
      <w:tabs>
        <w:tab w:val="left" w:pos="440"/>
        <w:tab w:val="right" w:leader="dot" w:pos="9044"/>
      </w:tabs>
    </w:pPr>
  </w:style>
  <w:style w:type="paragraph" w:styleId="TOC2">
    <w:name w:val="toc 2"/>
    <w:basedOn w:val="Normal"/>
    <w:next w:val="Normal"/>
    <w:autoRedefine/>
    <w:uiPriority w:val="39"/>
    <w:rsid w:val="006868F6"/>
    <w:pPr>
      <w:ind w:left="220"/>
    </w:pPr>
  </w:style>
  <w:style w:type="character" w:styleId="Hyperlink">
    <w:name w:val="Hyperlink"/>
    <w:uiPriority w:val="99"/>
    <w:rsid w:val="006868F6"/>
    <w:rPr>
      <w:color w:val="0000FF"/>
      <w:u w:val="single"/>
    </w:rPr>
  </w:style>
  <w:style w:type="paragraph" w:styleId="TOC3">
    <w:name w:val="toc 3"/>
    <w:basedOn w:val="Normal"/>
    <w:next w:val="Normal"/>
    <w:autoRedefine/>
    <w:uiPriority w:val="39"/>
    <w:rsid w:val="006868F6"/>
    <w:pPr>
      <w:ind w:left="440"/>
    </w:pPr>
  </w:style>
  <w:style w:type="paragraph" w:styleId="TOC4">
    <w:name w:val="toc 4"/>
    <w:basedOn w:val="Normal"/>
    <w:next w:val="Normal"/>
    <w:autoRedefine/>
    <w:semiHidden/>
    <w:rsid w:val="006868F6"/>
    <w:pPr>
      <w:ind w:left="660"/>
    </w:pPr>
  </w:style>
  <w:style w:type="paragraph" w:styleId="TOC5">
    <w:name w:val="toc 5"/>
    <w:basedOn w:val="Normal"/>
    <w:next w:val="Normal"/>
    <w:autoRedefine/>
    <w:semiHidden/>
    <w:rsid w:val="006868F6"/>
    <w:pPr>
      <w:ind w:left="880"/>
    </w:pPr>
  </w:style>
  <w:style w:type="paragraph" w:styleId="TOC6">
    <w:name w:val="toc 6"/>
    <w:basedOn w:val="Normal"/>
    <w:next w:val="Normal"/>
    <w:autoRedefine/>
    <w:semiHidden/>
    <w:rsid w:val="006868F6"/>
    <w:pPr>
      <w:ind w:left="1100"/>
    </w:pPr>
  </w:style>
  <w:style w:type="paragraph" w:styleId="TOC7">
    <w:name w:val="toc 7"/>
    <w:basedOn w:val="Normal"/>
    <w:next w:val="Normal"/>
    <w:autoRedefine/>
    <w:semiHidden/>
    <w:rsid w:val="006868F6"/>
    <w:pPr>
      <w:ind w:left="1320"/>
    </w:pPr>
  </w:style>
  <w:style w:type="paragraph" w:styleId="TOC8">
    <w:name w:val="toc 8"/>
    <w:basedOn w:val="Normal"/>
    <w:next w:val="Normal"/>
    <w:autoRedefine/>
    <w:semiHidden/>
    <w:rsid w:val="006868F6"/>
    <w:pPr>
      <w:ind w:left="1540"/>
    </w:pPr>
  </w:style>
  <w:style w:type="paragraph" w:styleId="TOC9">
    <w:name w:val="toc 9"/>
    <w:basedOn w:val="Normal"/>
    <w:next w:val="Normal"/>
    <w:autoRedefine/>
    <w:semiHidden/>
    <w:rsid w:val="006868F6"/>
    <w:pPr>
      <w:ind w:left="1760"/>
    </w:pPr>
  </w:style>
  <w:style w:type="paragraph" w:styleId="BalloonText">
    <w:name w:val="Balloon Text"/>
    <w:basedOn w:val="Normal"/>
    <w:link w:val="BalloonTextChar"/>
    <w:uiPriority w:val="99"/>
    <w:semiHidden/>
    <w:unhideWhenUsed/>
    <w:rsid w:val="00EA2D82"/>
    <w:pPr>
      <w:spacing w:line="240" w:lineRule="auto"/>
    </w:pPr>
    <w:rPr>
      <w:rFonts w:ascii="Tahoma" w:hAnsi="Tahoma"/>
      <w:sz w:val="16"/>
      <w:szCs w:val="16"/>
    </w:rPr>
  </w:style>
  <w:style w:type="character" w:customStyle="1" w:styleId="BalloonTextChar">
    <w:name w:val="Balloon Text Char"/>
    <w:link w:val="BalloonText"/>
    <w:uiPriority w:val="99"/>
    <w:semiHidden/>
    <w:rsid w:val="00EA2D82"/>
    <w:rPr>
      <w:rFonts w:ascii="Tahoma" w:hAnsi="Tahoma" w:cs="Tahoma"/>
      <w:sz w:val="16"/>
      <w:szCs w:val="16"/>
      <w:lang w:eastAsia="en-US"/>
    </w:rPr>
  </w:style>
  <w:style w:type="paragraph" w:customStyle="1" w:styleId="PTBodyText">
    <w:name w:val="*PT Body Text"/>
    <w:link w:val="PTBodyTextChar"/>
    <w:rsid w:val="00975583"/>
    <w:pPr>
      <w:jc w:val="both"/>
    </w:pPr>
    <w:rPr>
      <w:rFonts w:ascii="Calibri" w:eastAsia="Calibri" w:hAnsi="Calibri"/>
      <w:bCs/>
      <w:iCs/>
      <w:noProof/>
      <w:sz w:val="22"/>
      <w:szCs w:val="22"/>
    </w:rPr>
  </w:style>
  <w:style w:type="character" w:customStyle="1" w:styleId="PTBodyTextChar">
    <w:name w:val="*PT Body Text Char"/>
    <w:link w:val="PTBodyText"/>
    <w:locked/>
    <w:rsid w:val="00975583"/>
    <w:rPr>
      <w:rFonts w:ascii="Calibri" w:eastAsia="Calibri" w:hAnsi="Calibri"/>
      <w:bCs/>
      <w:iCs/>
      <w:noProof/>
      <w:sz w:val="22"/>
      <w:szCs w:val="22"/>
      <w:lang w:val="en-US" w:eastAsia="en-US" w:bidi="ar-SA"/>
    </w:rPr>
  </w:style>
  <w:style w:type="character" w:customStyle="1" w:styleId="PTBodyTextBoldNormal">
    <w:name w:val="*PT Body Text Bold Normal"/>
    <w:rsid w:val="00975583"/>
    <w:rPr>
      <w:rFonts w:ascii="Calibri" w:hAnsi="Calibri" w:cs="Times New Roman"/>
      <w:b/>
      <w:color w:val="auto"/>
      <w:sz w:val="22"/>
    </w:rPr>
  </w:style>
  <w:style w:type="paragraph" w:styleId="CommentText">
    <w:name w:val="annotation text"/>
    <w:basedOn w:val="Normal"/>
    <w:link w:val="CommentTextChar"/>
    <w:autoRedefine/>
    <w:rsid w:val="00121211"/>
    <w:pPr>
      <w:spacing w:before="80" w:after="80" w:line="240" w:lineRule="auto"/>
      <w:ind w:left="30" w:right="-22"/>
    </w:pPr>
    <w:rPr>
      <w:iCs/>
      <w:color w:val="000000"/>
      <w:szCs w:val="20"/>
    </w:rPr>
  </w:style>
  <w:style w:type="character" w:customStyle="1" w:styleId="CommentTextChar">
    <w:name w:val="Comment Text Char"/>
    <w:link w:val="CommentText"/>
    <w:rsid w:val="00121211"/>
    <w:rPr>
      <w:rFonts w:ascii="Arial" w:hAnsi="Arial"/>
      <w:iCs/>
      <w:color w:val="000000"/>
      <w:sz w:val="22"/>
      <w:lang w:eastAsia="en-US"/>
    </w:rPr>
  </w:style>
  <w:style w:type="paragraph" w:customStyle="1" w:styleId="Tabletext">
    <w:name w:val="Table text"/>
    <w:basedOn w:val="Normal"/>
    <w:next w:val="Normal"/>
    <w:qFormat/>
    <w:rsid w:val="004970A0"/>
    <w:pPr>
      <w:spacing w:line="240" w:lineRule="auto"/>
    </w:pPr>
    <w:rPr>
      <w:b/>
    </w:rPr>
  </w:style>
  <w:style w:type="character" w:customStyle="1" w:styleId="PTBodyTextNormal">
    <w:name w:val="*PT Body Text Normal"/>
    <w:rsid w:val="00B14131"/>
    <w:rPr>
      <w:rFonts w:ascii="Calibri" w:hAnsi="Calibri"/>
      <w:color w:val="auto"/>
      <w:sz w:val="22"/>
    </w:rPr>
  </w:style>
  <w:style w:type="paragraph" w:styleId="BodyText2">
    <w:name w:val="Body Text 2"/>
    <w:basedOn w:val="Normal"/>
    <w:link w:val="BodyText2Char"/>
    <w:rsid w:val="00443409"/>
    <w:pPr>
      <w:spacing w:line="480" w:lineRule="auto"/>
    </w:pPr>
    <w:rPr>
      <w:rFonts w:ascii="Times New Roman" w:hAnsi="Times New Roman"/>
      <w:i/>
      <w:iCs/>
      <w:sz w:val="24"/>
      <w:szCs w:val="24"/>
    </w:rPr>
  </w:style>
  <w:style w:type="character" w:customStyle="1" w:styleId="BodyText2Char">
    <w:name w:val="Body Text 2 Char"/>
    <w:link w:val="BodyText2"/>
    <w:rsid w:val="00443409"/>
    <w:rPr>
      <w:i/>
      <w:iCs/>
      <w:sz w:val="24"/>
      <w:szCs w:val="24"/>
      <w:lang w:eastAsia="en-US"/>
    </w:rPr>
  </w:style>
  <w:style w:type="paragraph" w:customStyle="1" w:styleId="ColorfulList-Accent11">
    <w:name w:val="Colorful List - Accent 11"/>
    <w:basedOn w:val="Normal"/>
    <w:uiPriority w:val="34"/>
    <w:qFormat/>
    <w:rsid w:val="00443409"/>
    <w:pPr>
      <w:spacing w:after="200" w:line="276" w:lineRule="auto"/>
      <w:ind w:left="720"/>
      <w:contextualSpacing/>
      <w:jc w:val="left"/>
    </w:pPr>
    <w:rPr>
      <w:rFonts w:ascii="Calibri" w:eastAsia="Calibri" w:hAnsi="Calibri"/>
    </w:rPr>
  </w:style>
  <w:style w:type="paragraph" w:styleId="NormalWeb">
    <w:name w:val="Normal (Web)"/>
    <w:basedOn w:val="Normal"/>
    <w:uiPriority w:val="99"/>
    <w:unhideWhenUsed/>
    <w:rsid w:val="002B4E3D"/>
    <w:pPr>
      <w:spacing w:before="100" w:beforeAutospacing="1" w:after="48" w:line="240" w:lineRule="auto"/>
      <w:jc w:val="left"/>
    </w:pPr>
    <w:rPr>
      <w:rFonts w:ascii="Times New Roman" w:hAnsi="Times New Roman"/>
      <w:color w:val="000000"/>
      <w:sz w:val="24"/>
      <w:szCs w:val="24"/>
      <w:lang w:eastAsia="en-GB"/>
    </w:rPr>
  </w:style>
  <w:style w:type="paragraph" w:customStyle="1" w:styleId="PTBulletList">
    <w:name w:val="*PT Bullet List"/>
    <w:basedOn w:val="PTBodyText"/>
    <w:next w:val="PTBodyText"/>
    <w:link w:val="PTBulletListChar"/>
    <w:rsid w:val="00A33735"/>
    <w:pPr>
      <w:numPr>
        <w:numId w:val="10"/>
      </w:numPr>
      <w:jc w:val="left"/>
    </w:pPr>
  </w:style>
  <w:style w:type="character" w:customStyle="1" w:styleId="PTBulletListChar">
    <w:name w:val="*PT Bullet List Char"/>
    <w:link w:val="PTBulletList"/>
    <w:rsid w:val="00A33735"/>
    <w:rPr>
      <w:rFonts w:ascii="Calibri" w:eastAsia="Calibri" w:hAnsi="Calibri"/>
      <w:bCs/>
      <w:iCs/>
      <w:noProof/>
      <w:sz w:val="22"/>
      <w:szCs w:val="22"/>
    </w:rPr>
  </w:style>
  <w:style w:type="paragraph" w:customStyle="1" w:styleId="PTOutlineHeading1">
    <w:name w:val="*PT Outline Heading 1"/>
    <w:basedOn w:val="Normal"/>
    <w:next w:val="PTBodyText"/>
    <w:rsid w:val="00C77B0E"/>
    <w:pPr>
      <w:keepNext/>
      <w:pageBreakBefore/>
      <w:numPr>
        <w:numId w:val="12"/>
      </w:numPr>
      <w:pBdr>
        <w:top w:val="single" w:sz="4" w:space="1" w:color="0070C0"/>
        <w:left w:val="single" w:sz="4" w:space="4" w:color="0070C0"/>
        <w:bottom w:val="single" w:sz="4" w:space="1" w:color="0070C0"/>
        <w:right w:val="single" w:sz="4" w:space="4" w:color="0070C0"/>
      </w:pBdr>
      <w:shd w:val="clear" w:color="auto" w:fill="365F91"/>
      <w:spacing w:before="120" w:after="360" w:line="240" w:lineRule="auto"/>
      <w:jc w:val="left"/>
    </w:pPr>
    <w:rPr>
      <w:rFonts w:ascii="Calibri" w:eastAsia="Calibri" w:hAnsi="Calibri"/>
      <w:b/>
      <w:bCs/>
      <w:iCs/>
      <w:caps/>
      <w:noProof/>
      <w:color w:val="FFFFFF"/>
      <w:lang w:val="en-US"/>
    </w:rPr>
  </w:style>
  <w:style w:type="paragraph" w:customStyle="1" w:styleId="PTOutlineHeading2">
    <w:name w:val="*PT Outline Heading 2"/>
    <w:basedOn w:val="Normal"/>
    <w:next w:val="PTBodyText"/>
    <w:rsid w:val="00C77B0E"/>
    <w:pPr>
      <w:keepNext/>
      <w:numPr>
        <w:ilvl w:val="1"/>
        <w:numId w:val="12"/>
      </w:numPr>
      <w:spacing w:before="240" w:after="240" w:line="240" w:lineRule="auto"/>
      <w:jc w:val="left"/>
      <w:outlineLvl w:val="1"/>
    </w:pPr>
    <w:rPr>
      <w:rFonts w:ascii="Calibri" w:eastAsia="Calibri" w:hAnsi="Calibri"/>
      <w:b/>
      <w:bCs/>
      <w:iCs/>
      <w:caps/>
      <w:noProof/>
      <w:color w:val="365F91"/>
      <w:lang w:val="en-US"/>
    </w:rPr>
  </w:style>
  <w:style w:type="character" w:customStyle="1" w:styleId="PTHyperlink">
    <w:name w:val="*PT Hyperlink"/>
    <w:rsid w:val="00C77B0E"/>
    <w:rPr>
      <w:bCs/>
      <w:iCs/>
      <w:noProof/>
      <w:color w:val="0E13EC"/>
      <w:sz w:val="22"/>
      <w:szCs w:val="22"/>
      <w:u w:val="single"/>
      <w:lang w:val="en-US" w:eastAsia="en-US" w:bidi="ar-SA"/>
    </w:rPr>
  </w:style>
  <w:style w:type="paragraph" w:customStyle="1" w:styleId="PTOutlineHeading3">
    <w:name w:val="*PT Outline Heading 3"/>
    <w:basedOn w:val="Normal"/>
    <w:next w:val="PTBodyText"/>
    <w:link w:val="PTOutlineHeading3Char"/>
    <w:rsid w:val="00C77B0E"/>
    <w:pPr>
      <w:keepNext/>
      <w:numPr>
        <w:ilvl w:val="2"/>
        <w:numId w:val="12"/>
      </w:numPr>
      <w:spacing w:after="60" w:line="240" w:lineRule="auto"/>
      <w:jc w:val="left"/>
    </w:pPr>
    <w:rPr>
      <w:rFonts w:ascii="Calibri" w:eastAsia="Calibri" w:hAnsi="Calibri"/>
      <w:b/>
      <w:bCs/>
      <w:iCs/>
      <w:smallCaps/>
      <w:noProof/>
      <w:color w:val="365F91"/>
    </w:rPr>
  </w:style>
  <w:style w:type="character" w:customStyle="1" w:styleId="PTOutlineHeading3Char">
    <w:name w:val="*PT Outline Heading 3 Char"/>
    <w:link w:val="PTOutlineHeading3"/>
    <w:locked/>
    <w:rsid w:val="00C77B0E"/>
    <w:rPr>
      <w:rFonts w:ascii="Calibri" w:eastAsia="Calibri" w:hAnsi="Calibri"/>
      <w:b/>
      <w:bCs/>
      <w:iCs/>
      <w:smallCaps/>
      <w:noProof/>
      <w:color w:val="365F91"/>
      <w:sz w:val="22"/>
      <w:szCs w:val="22"/>
    </w:rPr>
  </w:style>
  <w:style w:type="paragraph" w:customStyle="1" w:styleId="PTOutlineHeading4">
    <w:name w:val="*PT Outline Heading 4"/>
    <w:basedOn w:val="Normal"/>
    <w:next w:val="PTBodyText"/>
    <w:rsid w:val="00C77B0E"/>
    <w:pPr>
      <w:keepNext/>
      <w:numPr>
        <w:ilvl w:val="3"/>
        <w:numId w:val="12"/>
      </w:numPr>
      <w:spacing w:line="240" w:lineRule="auto"/>
      <w:jc w:val="left"/>
    </w:pPr>
    <w:rPr>
      <w:rFonts w:ascii="Calibri" w:eastAsia="Calibri" w:hAnsi="Calibri"/>
      <w:b/>
      <w:bCs/>
      <w:iCs/>
      <w:noProof/>
      <w:color w:val="365F91"/>
      <w:lang w:val="en-US"/>
    </w:rPr>
  </w:style>
  <w:style w:type="numbering" w:customStyle="1" w:styleId="OutlineHeading4">
    <w:name w:val="OutlineHeading4"/>
    <w:rsid w:val="00C77B0E"/>
    <w:pPr>
      <w:numPr>
        <w:numId w:val="12"/>
      </w:numPr>
    </w:pPr>
  </w:style>
  <w:style w:type="table" w:styleId="TableGrid">
    <w:name w:val="Table Grid"/>
    <w:basedOn w:val="TableNormal"/>
    <w:uiPriority w:val="59"/>
    <w:rsid w:val="00BC5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A2447"/>
    <w:rPr>
      <w:sz w:val="16"/>
      <w:szCs w:val="16"/>
    </w:rPr>
  </w:style>
  <w:style w:type="paragraph" w:styleId="CommentSubject">
    <w:name w:val="annotation subject"/>
    <w:basedOn w:val="CommentText"/>
    <w:next w:val="CommentText"/>
    <w:link w:val="CommentSubjectChar"/>
    <w:uiPriority w:val="99"/>
    <w:semiHidden/>
    <w:unhideWhenUsed/>
    <w:rsid w:val="007A2447"/>
    <w:pPr>
      <w:spacing w:before="0" w:after="0" w:line="360" w:lineRule="auto"/>
      <w:ind w:left="0" w:right="0"/>
    </w:pPr>
    <w:rPr>
      <w:b/>
      <w:bCs/>
      <w:iCs w:val="0"/>
    </w:rPr>
  </w:style>
  <w:style w:type="character" w:customStyle="1" w:styleId="CommentSubjectChar">
    <w:name w:val="Comment Subject Char"/>
    <w:link w:val="CommentSubject"/>
    <w:uiPriority w:val="99"/>
    <w:semiHidden/>
    <w:rsid w:val="007A2447"/>
    <w:rPr>
      <w:rFonts w:ascii="Arial" w:hAnsi="Arial"/>
      <w:b/>
      <w:bCs/>
      <w:iCs w:val="0"/>
      <w:color w:val="000000"/>
      <w:sz w:val="22"/>
      <w:lang w:val="en-GB" w:eastAsia="en-US"/>
    </w:rPr>
  </w:style>
  <w:style w:type="paragraph" w:styleId="Revision">
    <w:name w:val="Revision"/>
    <w:hidden/>
    <w:uiPriority w:val="71"/>
    <w:rsid w:val="005E7D9C"/>
    <w:rPr>
      <w:rFonts w:ascii="Arial" w:hAnsi="Arial"/>
      <w:sz w:val="22"/>
      <w:szCs w:val="22"/>
      <w:lang w:val="en-GB"/>
    </w:rPr>
  </w:style>
  <w:style w:type="paragraph" w:styleId="ListParagraph">
    <w:name w:val="List Paragraph"/>
    <w:basedOn w:val="Normal"/>
    <w:uiPriority w:val="99"/>
    <w:qFormat/>
    <w:rsid w:val="007E4202"/>
    <w:pPr>
      <w:ind w:left="720"/>
      <w:jc w:val="left"/>
    </w:pPr>
    <w:rPr>
      <w:rFonts w:ascii="Calibri" w:hAnsi="Calibri"/>
      <w:szCs w:val="24"/>
      <w:lang w:val="en-US"/>
    </w:rPr>
  </w:style>
  <w:style w:type="paragraph" w:customStyle="1" w:styleId="bulletschp1">
    <w:name w:val="bulletschp1"/>
    <w:basedOn w:val="Normal"/>
    <w:uiPriority w:val="99"/>
    <w:rsid w:val="007E4202"/>
    <w:pPr>
      <w:numPr>
        <w:numId w:val="16"/>
      </w:numPr>
    </w:pPr>
    <w:rPr>
      <w:rFonts w:ascii="Calibri" w:hAnsi="Calibri" w:cs="Calibri"/>
      <w:lang w:val="en-US"/>
    </w:rPr>
  </w:style>
  <w:style w:type="paragraph" w:styleId="BodyTextIndent">
    <w:name w:val="Body Text Indent"/>
    <w:basedOn w:val="Normal"/>
    <w:link w:val="BodyTextIndentChar"/>
    <w:uiPriority w:val="99"/>
    <w:semiHidden/>
    <w:unhideWhenUsed/>
    <w:rsid w:val="00B96E63"/>
    <w:pPr>
      <w:spacing w:after="120"/>
      <w:ind w:left="360"/>
    </w:pPr>
  </w:style>
  <w:style w:type="character" w:customStyle="1" w:styleId="BodyTextIndentChar">
    <w:name w:val="Body Text Indent Char"/>
    <w:basedOn w:val="DefaultParagraphFont"/>
    <w:link w:val="BodyTextIndent"/>
    <w:uiPriority w:val="99"/>
    <w:semiHidden/>
    <w:rsid w:val="00B96E63"/>
    <w:rPr>
      <w:rFonts w:ascii="Arial" w:hAnsi="Arial"/>
      <w:sz w:val="22"/>
      <w:szCs w:val="22"/>
      <w:lang w:val="en-GB"/>
    </w:rPr>
  </w:style>
  <w:style w:type="character" w:customStyle="1" w:styleId="Heading3Char">
    <w:name w:val="Heading 3 Char"/>
    <w:basedOn w:val="DefaultParagraphFont"/>
    <w:link w:val="Heading3"/>
    <w:rsid w:val="00760A3B"/>
    <w:rPr>
      <w:rFonts w:ascii="Arial" w:hAnsi="Arial" w:cs="Arial"/>
      <w:b/>
      <w:bCs/>
      <w:sz w:val="22"/>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0D8"/>
    <w:pPr>
      <w:spacing w:line="360" w:lineRule="auto"/>
      <w:jc w:val="both"/>
    </w:pPr>
    <w:rPr>
      <w:rFonts w:ascii="Arial" w:hAnsi="Arial"/>
      <w:sz w:val="22"/>
      <w:szCs w:val="22"/>
      <w:lang w:val="en-GB"/>
    </w:rPr>
  </w:style>
  <w:style w:type="paragraph" w:styleId="Heading1">
    <w:name w:val="heading 1"/>
    <w:basedOn w:val="Normal"/>
    <w:next w:val="Normal"/>
    <w:qFormat/>
    <w:pPr>
      <w:widowControl w:val="0"/>
      <w:numPr>
        <w:numId w:val="2"/>
      </w:numPr>
      <w:tabs>
        <w:tab w:val="left" w:pos="567"/>
      </w:tabs>
      <w:spacing w:before="240" w:after="60"/>
      <w:outlineLvl w:val="0"/>
    </w:pPr>
    <w:rPr>
      <w:rFonts w:cs="Arial"/>
      <w:b/>
      <w:bCs/>
      <w:caps/>
      <w:kern w:val="32"/>
    </w:rPr>
  </w:style>
  <w:style w:type="paragraph" w:styleId="Heading2">
    <w:name w:val="heading 2"/>
    <w:basedOn w:val="Normal"/>
    <w:next w:val="Normal"/>
    <w:autoRedefine/>
    <w:qFormat/>
    <w:rsid w:val="003A4A48"/>
    <w:pPr>
      <w:keepNext/>
      <w:numPr>
        <w:ilvl w:val="1"/>
        <w:numId w:val="2"/>
      </w:numPr>
      <w:outlineLvl w:val="1"/>
    </w:pPr>
    <w:rPr>
      <w:rFonts w:cs="Arial"/>
      <w:b/>
      <w:bCs/>
      <w:iCs/>
      <w:szCs w:val="28"/>
    </w:rPr>
  </w:style>
  <w:style w:type="paragraph" w:styleId="Heading3">
    <w:name w:val="heading 3"/>
    <w:basedOn w:val="Normal"/>
    <w:next w:val="Normal"/>
    <w:link w:val="Heading3Char"/>
    <w:autoRedefine/>
    <w:qFormat/>
    <w:rsid w:val="00760A3B"/>
    <w:pPr>
      <w:keepNext/>
      <w:numPr>
        <w:ilvl w:val="2"/>
        <w:numId w:val="2"/>
      </w:numPr>
      <w:spacing w:before="240" w:after="60"/>
      <w:outlineLvl w:val="2"/>
    </w:pPr>
    <w:rPr>
      <w:rFonts w:cs="Arial"/>
      <w:b/>
      <w:bCs/>
      <w:szCs w:val="26"/>
    </w:rPr>
  </w:style>
  <w:style w:type="paragraph" w:styleId="Heading4">
    <w:name w:val="heading 4"/>
    <w:basedOn w:val="Normal"/>
    <w:next w:val="Normal"/>
    <w:autoRedefine/>
    <w:qFormat/>
    <w:pPr>
      <w:keepNext/>
      <w:numPr>
        <w:ilvl w:val="3"/>
        <w:numId w:val="2"/>
      </w:numPr>
      <w:outlineLvl w:val="3"/>
    </w:pPr>
    <w:rPr>
      <w:b/>
      <w:color w:val="000000"/>
      <w:szCs w:val="20"/>
    </w:rPr>
  </w:style>
  <w:style w:type="paragraph" w:styleId="Heading5">
    <w:name w:val="heading 5"/>
    <w:basedOn w:val="Normal"/>
    <w:next w:val="Normal"/>
    <w:autoRedefine/>
    <w:qFormat/>
    <w:pPr>
      <w:numPr>
        <w:ilvl w:val="4"/>
        <w:numId w:val="2"/>
      </w:numPr>
      <w:jc w:val="left"/>
      <w:outlineLvl w:val="4"/>
    </w:pPr>
    <w:rPr>
      <w:i/>
      <w:szCs w:val="20"/>
    </w:rPr>
  </w:style>
  <w:style w:type="paragraph" w:styleId="Heading6">
    <w:name w:val="heading 6"/>
    <w:basedOn w:val="Normal"/>
    <w:next w:val="Normal"/>
    <w:qFormat/>
    <w:pPr>
      <w:keepNext/>
      <w:numPr>
        <w:ilvl w:val="5"/>
        <w:numId w:val="2"/>
      </w:numPr>
      <w:spacing w:before="240" w:after="240" w:line="240" w:lineRule="auto"/>
      <w:jc w:val="center"/>
      <w:outlineLvl w:val="5"/>
    </w:pPr>
    <w:rPr>
      <w:b/>
      <w:bCs/>
      <w:szCs w:val="20"/>
    </w:rPr>
  </w:style>
  <w:style w:type="paragraph" w:styleId="Heading7">
    <w:name w:val="heading 7"/>
    <w:basedOn w:val="Normal"/>
    <w:next w:val="Normal"/>
    <w:qFormat/>
    <w:pPr>
      <w:keepNext/>
      <w:numPr>
        <w:ilvl w:val="6"/>
        <w:numId w:val="2"/>
      </w:numPr>
      <w:spacing w:line="240" w:lineRule="auto"/>
      <w:jc w:val="center"/>
      <w:outlineLvl w:val="6"/>
    </w:pPr>
    <w:rPr>
      <w:b/>
      <w:color w:val="000000"/>
      <w:szCs w:val="20"/>
    </w:rPr>
  </w:style>
  <w:style w:type="paragraph" w:styleId="Heading8">
    <w:name w:val="heading 8"/>
    <w:basedOn w:val="Normal"/>
    <w:next w:val="Normal"/>
    <w:autoRedefine/>
    <w:qFormat/>
    <w:pPr>
      <w:keepNext/>
      <w:numPr>
        <w:ilvl w:val="7"/>
        <w:numId w:val="2"/>
      </w:numPr>
      <w:jc w:val="left"/>
      <w:outlineLvl w:val="7"/>
    </w:pPr>
    <w:rPr>
      <w:rFonts w:cs="Arial"/>
      <w:i/>
      <w:iCs/>
      <w:color w:val="000000"/>
      <w:szCs w:val="20"/>
      <w:u w:val="single"/>
    </w:rPr>
  </w:style>
  <w:style w:type="paragraph" w:styleId="Heading9">
    <w:name w:val="heading 9"/>
    <w:basedOn w:val="Normal"/>
    <w:next w:val="Normal"/>
    <w:qFormat/>
    <w:pPr>
      <w:numPr>
        <w:ilvl w:val="8"/>
        <w:numId w:val="2"/>
      </w:numPr>
      <w:spacing w:before="240" w:after="60" w:line="240" w:lineRule="auto"/>
      <w:jc w:val="left"/>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pPr>
      <w:spacing w:before="80" w:after="80" w:line="240" w:lineRule="auto"/>
      <w:ind w:right="-108"/>
      <w:jc w:val="left"/>
    </w:pPr>
  </w:style>
  <w:style w:type="paragraph" w:styleId="Footer">
    <w:name w:val="footer"/>
    <w:basedOn w:val="Normal"/>
    <w:autoRedefine/>
    <w:rsid w:val="002718C2"/>
    <w:pPr>
      <w:tabs>
        <w:tab w:val="center" w:pos="4153"/>
        <w:tab w:val="right" w:pos="8306"/>
      </w:tabs>
      <w:spacing w:line="240" w:lineRule="exact"/>
    </w:pPr>
  </w:style>
  <w:style w:type="paragraph" w:customStyle="1" w:styleId="NormalBullet">
    <w:name w:val="Normal Bullet"/>
    <w:basedOn w:val="NormalIndent"/>
    <w:rsid w:val="00DB6DB7"/>
    <w:pPr>
      <w:numPr>
        <w:numId w:val="1"/>
      </w:numPr>
      <w:tabs>
        <w:tab w:val="clear" w:pos="648"/>
        <w:tab w:val="num" w:pos="993"/>
      </w:tabs>
      <w:ind w:left="993" w:hanging="426"/>
    </w:pPr>
  </w:style>
  <w:style w:type="paragraph" w:styleId="NormalIndent">
    <w:name w:val="Normal Indent"/>
    <w:basedOn w:val="Normal"/>
    <w:rsid w:val="004970A0"/>
    <w:pPr>
      <w:ind w:left="567"/>
    </w:pPr>
  </w:style>
  <w:style w:type="paragraph" w:styleId="TOC1">
    <w:name w:val="toc 1"/>
    <w:basedOn w:val="Normal"/>
    <w:next w:val="Normal"/>
    <w:autoRedefine/>
    <w:uiPriority w:val="39"/>
    <w:pPr>
      <w:tabs>
        <w:tab w:val="left" w:pos="440"/>
        <w:tab w:val="right" w:leader="dot" w:pos="9044"/>
      </w:tabs>
    </w:pPr>
  </w:style>
  <w:style w:type="paragraph" w:styleId="TOC2">
    <w:name w:val="toc 2"/>
    <w:basedOn w:val="Normal"/>
    <w:next w:val="Normal"/>
    <w:autoRedefine/>
    <w:uiPriority w:val="39"/>
    <w:pPr>
      <w:ind w:left="220"/>
    </w:pPr>
  </w:style>
  <w:style w:type="character" w:styleId="Hyperlink">
    <w:name w:val="Hyperlink"/>
    <w:uiPriority w:val="99"/>
    <w:rPr>
      <w:color w:val="0000FF"/>
      <w:u w:val="single"/>
    </w:rPr>
  </w:style>
  <w:style w:type="paragraph" w:styleId="TOC3">
    <w:name w:val="toc 3"/>
    <w:basedOn w:val="Normal"/>
    <w:next w:val="Normal"/>
    <w:autoRedefine/>
    <w:uiPriority w:val="39"/>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link w:val="BalloonTextChar"/>
    <w:uiPriority w:val="99"/>
    <w:semiHidden/>
    <w:unhideWhenUsed/>
    <w:rsid w:val="00EA2D82"/>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EA2D82"/>
    <w:rPr>
      <w:rFonts w:ascii="Tahoma" w:hAnsi="Tahoma" w:cs="Tahoma"/>
      <w:sz w:val="16"/>
      <w:szCs w:val="16"/>
      <w:lang w:eastAsia="en-US"/>
    </w:rPr>
  </w:style>
  <w:style w:type="paragraph" w:customStyle="1" w:styleId="PTBodyText">
    <w:name w:val="*PT Body Text"/>
    <w:link w:val="PTBodyTextChar"/>
    <w:rsid w:val="00975583"/>
    <w:pPr>
      <w:jc w:val="both"/>
    </w:pPr>
    <w:rPr>
      <w:rFonts w:ascii="Calibri" w:eastAsia="Calibri" w:hAnsi="Calibri"/>
      <w:bCs/>
      <w:iCs/>
      <w:noProof/>
      <w:sz w:val="22"/>
      <w:szCs w:val="22"/>
    </w:rPr>
  </w:style>
  <w:style w:type="character" w:customStyle="1" w:styleId="PTBodyTextChar">
    <w:name w:val="*PT Body Text Char"/>
    <w:link w:val="PTBodyText"/>
    <w:locked/>
    <w:rsid w:val="00975583"/>
    <w:rPr>
      <w:rFonts w:ascii="Calibri" w:eastAsia="Calibri" w:hAnsi="Calibri"/>
      <w:bCs/>
      <w:iCs/>
      <w:noProof/>
      <w:sz w:val="22"/>
      <w:szCs w:val="22"/>
      <w:lang w:val="en-US" w:eastAsia="en-US" w:bidi="ar-SA"/>
    </w:rPr>
  </w:style>
  <w:style w:type="character" w:customStyle="1" w:styleId="PTBodyTextBoldNormal">
    <w:name w:val="*PT Body Text Bold Normal"/>
    <w:rsid w:val="00975583"/>
    <w:rPr>
      <w:rFonts w:ascii="Calibri" w:hAnsi="Calibri" w:cs="Times New Roman"/>
      <w:b/>
      <w:color w:val="auto"/>
      <w:sz w:val="22"/>
    </w:rPr>
  </w:style>
  <w:style w:type="paragraph" w:styleId="CommentText">
    <w:name w:val="annotation text"/>
    <w:basedOn w:val="Normal"/>
    <w:link w:val="CommentTextChar"/>
    <w:autoRedefine/>
    <w:rsid w:val="00121211"/>
    <w:pPr>
      <w:spacing w:before="80" w:after="80" w:line="240" w:lineRule="auto"/>
      <w:ind w:left="30" w:right="-22"/>
    </w:pPr>
    <w:rPr>
      <w:iCs/>
      <w:color w:val="000000"/>
      <w:szCs w:val="20"/>
      <w:lang w:val="x-none"/>
    </w:rPr>
  </w:style>
  <w:style w:type="character" w:customStyle="1" w:styleId="CommentTextChar">
    <w:name w:val="Comment Text Char"/>
    <w:link w:val="CommentText"/>
    <w:rsid w:val="00121211"/>
    <w:rPr>
      <w:rFonts w:ascii="Arial" w:hAnsi="Arial"/>
      <w:iCs/>
      <w:color w:val="000000"/>
      <w:sz w:val="22"/>
      <w:lang w:eastAsia="en-US"/>
    </w:rPr>
  </w:style>
  <w:style w:type="paragraph" w:customStyle="1" w:styleId="Tabletext">
    <w:name w:val="Table text"/>
    <w:basedOn w:val="Normal"/>
    <w:next w:val="Normal"/>
    <w:qFormat/>
    <w:rsid w:val="004970A0"/>
    <w:pPr>
      <w:spacing w:line="240" w:lineRule="auto"/>
    </w:pPr>
    <w:rPr>
      <w:b/>
    </w:rPr>
  </w:style>
  <w:style w:type="character" w:customStyle="1" w:styleId="PTBodyTextNormal">
    <w:name w:val="*PT Body Text Normal"/>
    <w:rsid w:val="00B14131"/>
    <w:rPr>
      <w:rFonts w:ascii="Calibri" w:hAnsi="Calibri"/>
      <w:color w:val="auto"/>
      <w:sz w:val="22"/>
    </w:rPr>
  </w:style>
  <w:style w:type="paragraph" w:styleId="BodyText2">
    <w:name w:val="Body Text 2"/>
    <w:basedOn w:val="Normal"/>
    <w:link w:val="BodyText2Char"/>
    <w:rsid w:val="00443409"/>
    <w:pPr>
      <w:spacing w:line="480" w:lineRule="auto"/>
    </w:pPr>
    <w:rPr>
      <w:rFonts w:ascii="Times New Roman" w:hAnsi="Times New Roman"/>
      <w:i/>
      <w:iCs/>
      <w:sz w:val="24"/>
      <w:szCs w:val="24"/>
      <w:lang w:val="x-none"/>
    </w:rPr>
  </w:style>
  <w:style w:type="character" w:customStyle="1" w:styleId="BodyText2Char">
    <w:name w:val="Body Text 2 Char"/>
    <w:link w:val="BodyText2"/>
    <w:rsid w:val="00443409"/>
    <w:rPr>
      <w:i/>
      <w:iCs/>
      <w:sz w:val="24"/>
      <w:szCs w:val="24"/>
      <w:lang w:eastAsia="en-US"/>
    </w:rPr>
  </w:style>
  <w:style w:type="paragraph" w:customStyle="1" w:styleId="ColorfulList-Accent11">
    <w:name w:val="Colorful List - Accent 11"/>
    <w:basedOn w:val="Normal"/>
    <w:uiPriority w:val="34"/>
    <w:qFormat/>
    <w:rsid w:val="00443409"/>
    <w:pPr>
      <w:spacing w:after="200" w:line="276" w:lineRule="auto"/>
      <w:ind w:left="720"/>
      <w:contextualSpacing/>
      <w:jc w:val="left"/>
    </w:pPr>
    <w:rPr>
      <w:rFonts w:ascii="Calibri" w:eastAsia="Calibri" w:hAnsi="Calibri"/>
    </w:rPr>
  </w:style>
  <w:style w:type="paragraph" w:styleId="NormalWeb">
    <w:name w:val="Normal (Web)"/>
    <w:basedOn w:val="Normal"/>
    <w:uiPriority w:val="99"/>
    <w:unhideWhenUsed/>
    <w:rsid w:val="002B4E3D"/>
    <w:pPr>
      <w:spacing w:before="100" w:beforeAutospacing="1" w:after="48" w:line="240" w:lineRule="auto"/>
      <w:jc w:val="left"/>
    </w:pPr>
    <w:rPr>
      <w:rFonts w:ascii="Times New Roman" w:hAnsi="Times New Roman"/>
      <w:color w:val="000000"/>
      <w:sz w:val="24"/>
      <w:szCs w:val="24"/>
      <w:lang w:eastAsia="en-GB"/>
    </w:rPr>
  </w:style>
  <w:style w:type="paragraph" w:customStyle="1" w:styleId="PTBulletList">
    <w:name w:val="*PT Bullet List"/>
    <w:basedOn w:val="PTBodyText"/>
    <w:next w:val="PTBodyText"/>
    <w:link w:val="PTBulletListChar"/>
    <w:rsid w:val="00A33735"/>
    <w:pPr>
      <w:numPr>
        <w:numId w:val="10"/>
      </w:numPr>
      <w:jc w:val="left"/>
    </w:pPr>
    <w:rPr>
      <w:lang w:val="x-none" w:eastAsia="x-none"/>
    </w:rPr>
  </w:style>
  <w:style w:type="character" w:customStyle="1" w:styleId="PTBulletListChar">
    <w:name w:val="*PT Bullet List Char"/>
    <w:link w:val="PTBulletList"/>
    <w:rsid w:val="00A33735"/>
    <w:rPr>
      <w:rFonts w:ascii="Calibri" w:eastAsia="Calibri" w:hAnsi="Calibri"/>
      <w:bCs/>
      <w:iCs/>
      <w:noProof/>
      <w:sz w:val="22"/>
      <w:szCs w:val="22"/>
    </w:rPr>
  </w:style>
  <w:style w:type="paragraph" w:customStyle="1" w:styleId="PTOutlineHeading1">
    <w:name w:val="*PT Outline Heading 1"/>
    <w:basedOn w:val="Normal"/>
    <w:next w:val="PTBodyText"/>
    <w:rsid w:val="00C77B0E"/>
    <w:pPr>
      <w:keepNext/>
      <w:pageBreakBefore/>
      <w:numPr>
        <w:numId w:val="12"/>
      </w:numPr>
      <w:pBdr>
        <w:top w:val="single" w:sz="4" w:space="1" w:color="0070C0"/>
        <w:left w:val="single" w:sz="4" w:space="4" w:color="0070C0"/>
        <w:bottom w:val="single" w:sz="4" w:space="1" w:color="0070C0"/>
        <w:right w:val="single" w:sz="4" w:space="4" w:color="0070C0"/>
      </w:pBdr>
      <w:shd w:val="clear" w:color="auto" w:fill="365F91"/>
      <w:spacing w:before="120" w:after="360" w:line="240" w:lineRule="auto"/>
      <w:jc w:val="left"/>
    </w:pPr>
    <w:rPr>
      <w:rFonts w:ascii="Calibri" w:eastAsia="Calibri" w:hAnsi="Calibri"/>
      <w:b/>
      <w:bCs/>
      <w:iCs/>
      <w:caps/>
      <w:noProof/>
      <w:color w:val="FFFFFF"/>
      <w:lang w:val="en-US"/>
    </w:rPr>
  </w:style>
  <w:style w:type="paragraph" w:customStyle="1" w:styleId="PTOutlineHeading2">
    <w:name w:val="*PT Outline Heading 2"/>
    <w:basedOn w:val="Normal"/>
    <w:next w:val="PTBodyText"/>
    <w:rsid w:val="00C77B0E"/>
    <w:pPr>
      <w:keepNext/>
      <w:numPr>
        <w:ilvl w:val="1"/>
        <w:numId w:val="12"/>
      </w:numPr>
      <w:spacing w:before="240" w:after="240" w:line="240" w:lineRule="auto"/>
      <w:jc w:val="left"/>
      <w:outlineLvl w:val="1"/>
    </w:pPr>
    <w:rPr>
      <w:rFonts w:ascii="Calibri" w:eastAsia="Calibri" w:hAnsi="Calibri"/>
      <w:b/>
      <w:bCs/>
      <w:iCs/>
      <w:caps/>
      <w:noProof/>
      <w:color w:val="365F91"/>
      <w:lang w:val="en-US"/>
    </w:rPr>
  </w:style>
  <w:style w:type="character" w:customStyle="1" w:styleId="PTHyperlink">
    <w:name w:val="*PT Hyperlink"/>
    <w:rsid w:val="00C77B0E"/>
    <w:rPr>
      <w:bCs/>
      <w:iCs/>
      <w:noProof/>
      <w:color w:val="0E13EC"/>
      <w:sz w:val="22"/>
      <w:szCs w:val="22"/>
      <w:u w:val="single"/>
      <w:lang w:val="en-US" w:eastAsia="en-US" w:bidi="ar-SA"/>
    </w:rPr>
  </w:style>
  <w:style w:type="paragraph" w:customStyle="1" w:styleId="PTOutlineHeading3">
    <w:name w:val="*PT Outline Heading 3"/>
    <w:basedOn w:val="Normal"/>
    <w:next w:val="PTBodyText"/>
    <w:link w:val="PTOutlineHeading3Char"/>
    <w:rsid w:val="00C77B0E"/>
    <w:pPr>
      <w:keepNext/>
      <w:numPr>
        <w:ilvl w:val="2"/>
        <w:numId w:val="12"/>
      </w:numPr>
      <w:spacing w:after="60" w:line="240" w:lineRule="auto"/>
      <w:jc w:val="left"/>
    </w:pPr>
    <w:rPr>
      <w:rFonts w:ascii="Calibri" w:eastAsia="Calibri" w:hAnsi="Calibri"/>
      <w:b/>
      <w:bCs/>
      <w:iCs/>
      <w:smallCaps/>
      <w:noProof/>
      <w:color w:val="365F91"/>
      <w:lang w:val="x-none" w:eastAsia="x-none"/>
    </w:rPr>
  </w:style>
  <w:style w:type="character" w:customStyle="1" w:styleId="PTOutlineHeading3Char">
    <w:name w:val="*PT Outline Heading 3 Char"/>
    <w:link w:val="PTOutlineHeading3"/>
    <w:locked/>
    <w:rsid w:val="00C77B0E"/>
    <w:rPr>
      <w:rFonts w:ascii="Calibri" w:eastAsia="Calibri" w:hAnsi="Calibri"/>
      <w:b/>
      <w:bCs/>
      <w:iCs/>
      <w:smallCaps/>
      <w:noProof/>
      <w:color w:val="365F91"/>
      <w:sz w:val="22"/>
      <w:szCs w:val="22"/>
    </w:rPr>
  </w:style>
  <w:style w:type="paragraph" w:customStyle="1" w:styleId="PTOutlineHeading4">
    <w:name w:val="*PT Outline Heading 4"/>
    <w:basedOn w:val="Normal"/>
    <w:next w:val="PTBodyText"/>
    <w:rsid w:val="00C77B0E"/>
    <w:pPr>
      <w:keepNext/>
      <w:numPr>
        <w:ilvl w:val="3"/>
        <w:numId w:val="12"/>
      </w:numPr>
      <w:spacing w:line="240" w:lineRule="auto"/>
      <w:jc w:val="left"/>
    </w:pPr>
    <w:rPr>
      <w:rFonts w:ascii="Calibri" w:eastAsia="Calibri" w:hAnsi="Calibri"/>
      <w:b/>
      <w:bCs/>
      <w:iCs/>
      <w:noProof/>
      <w:color w:val="365F91"/>
      <w:lang w:val="en-US"/>
    </w:rPr>
  </w:style>
  <w:style w:type="numbering" w:customStyle="1" w:styleId="OutlineHeading4">
    <w:name w:val="OutlineHeading4"/>
    <w:rsid w:val="00C77B0E"/>
    <w:pPr>
      <w:numPr>
        <w:numId w:val="12"/>
      </w:numPr>
    </w:pPr>
  </w:style>
  <w:style w:type="table" w:styleId="TableGrid">
    <w:name w:val="Table Grid"/>
    <w:basedOn w:val="TableNormal"/>
    <w:uiPriority w:val="59"/>
    <w:rsid w:val="00BC5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7A2447"/>
    <w:rPr>
      <w:sz w:val="16"/>
      <w:szCs w:val="16"/>
    </w:rPr>
  </w:style>
  <w:style w:type="paragraph" w:styleId="CommentSubject">
    <w:name w:val="annotation subject"/>
    <w:basedOn w:val="CommentText"/>
    <w:next w:val="CommentText"/>
    <w:link w:val="CommentSubjectChar"/>
    <w:uiPriority w:val="99"/>
    <w:semiHidden/>
    <w:unhideWhenUsed/>
    <w:rsid w:val="007A2447"/>
    <w:pPr>
      <w:spacing w:before="0" w:after="0" w:line="360" w:lineRule="auto"/>
      <w:ind w:left="0" w:right="0"/>
    </w:pPr>
    <w:rPr>
      <w:b/>
      <w:bCs/>
      <w:iCs w:val="0"/>
      <w:lang w:val="en-GB"/>
    </w:rPr>
  </w:style>
  <w:style w:type="character" w:customStyle="1" w:styleId="CommentSubjectChar">
    <w:name w:val="Comment Subject Char"/>
    <w:link w:val="CommentSubject"/>
    <w:uiPriority w:val="99"/>
    <w:semiHidden/>
    <w:rsid w:val="007A2447"/>
    <w:rPr>
      <w:rFonts w:ascii="Arial" w:hAnsi="Arial"/>
      <w:b/>
      <w:bCs/>
      <w:iCs w:val="0"/>
      <w:color w:val="000000"/>
      <w:sz w:val="22"/>
      <w:lang w:val="en-GB" w:eastAsia="en-US"/>
    </w:rPr>
  </w:style>
  <w:style w:type="paragraph" w:styleId="Revision">
    <w:name w:val="Revision"/>
    <w:hidden/>
    <w:uiPriority w:val="71"/>
    <w:rsid w:val="005E7D9C"/>
    <w:rPr>
      <w:rFonts w:ascii="Arial" w:hAnsi="Arial"/>
      <w:sz w:val="22"/>
      <w:szCs w:val="22"/>
      <w:lang w:val="en-GB"/>
    </w:rPr>
  </w:style>
  <w:style w:type="paragraph" w:styleId="ListParagraph">
    <w:name w:val="List Paragraph"/>
    <w:basedOn w:val="Normal"/>
    <w:uiPriority w:val="99"/>
    <w:qFormat/>
    <w:rsid w:val="007E4202"/>
    <w:pPr>
      <w:ind w:left="720"/>
      <w:jc w:val="left"/>
    </w:pPr>
    <w:rPr>
      <w:rFonts w:ascii="Calibri" w:hAnsi="Calibri"/>
      <w:szCs w:val="24"/>
      <w:lang w:val="en-US"/>
    </w:rPr>
  </w:style>
  <w:style w:type="paragraph" w:customStyle="1" w:styleId="bulletschp1">
    <w:name w:val="bulletschp1"/>
    <w:basedOn w:val="Normal"/>
    <w:uiPriority w:val="99"/>
    <w:rsid w:val="007E4202"/>
    <w:pPr>
      <w:numPr>
        <w:numId w:val="16"/>
      </w:numPr>
    </w:pPr>
    <w:rPr>
      <w:rFonts w:ascii="Calibri" w:hAnsi="Calibri" w:cs="Calibri"/>
      <w:lang w:val="en-US"/>
    </w:rPr>
  </w:style>
  <w:style w:type="paragraph" w:styleId="BodyTextIndent">
    <w:name w:val="Body Text Indent"/>
    <w:basedOn w:val="Normal"/>
    <w:link w:val="BodyTextIndentChar"/>
    <w:uiPriority w:val="99"/>
    <w:semiHidden/>
    <w:unhideWhenUsed/>
    <w:rsid w:val="00B96E63"/>
    <w:pPr>
      <w:spacing w:after="120"/>
      <w:ind w:left="360"/>
    </w:pPr>
  </w:style>
  <w:style w:type="character" w:customStyle="1" w:styleId="BodyTextIndentChar">
    <w:name w:val="Body Text Indent Char"/>
    <w:basedOn w:val="DefaultParagraphFont"/>
    <w:link w:val="BodyTextIndent"/>
    <w:uiPriority w:val="99"/>
    <w:semiHidden/>
    <w:rsid w:val="00B96E63"/>
    <w:rPr>
      <w:rFonts w:ascii="Arial" w:hAnsi="Arial"/>
      <w:sz w:val="22"/>
      <w:szCs w:val="22"/>
      <w:lang w:val="en-GB"/>
    </w:rPr>
  </w:style>
  <w:style w:type="character" w:customStyle="1" w:styleId="Heading3Char">
    <w:name w:val="Heading 3 Char"/>
    <w:basedOn w:val="DefaultParagraphFont"/>
    <w:link w:val="Heading3"/>
    <w:rsid w:val="00760A3B"/>
    <w:rPr>
      <w:rFonts w:ascii="Arial" w:hAnsi="Arial" w:cs="Arial"/>
      <w:b/>
      <w:bCs/>
      <w:sz w:val="22"/>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051683">
      <w:bodyDiv w:val="1"/>
      <w:marLeft w:val="0"/>
      <w:marRight w:val="0"/>
      <w:marTop w:val="0"/>
      <w:marBottom w:val="0"/>
      <w:divBdr>
        <w:top w:val="none" w:sz="0" w:space="0" w:color="auto"/>
        <w:left w:val="none" w:sz="0" w:space="0" w:color="auto"/>
        <w:bottom w:val="none" w:sz="0" w:space="0" w:color="auto"/>
        <w:right w:val="none" w:sz="0" w:space="0" w:color="auto"/>
      </w:divBdr>
    </w:div>
    <w:div w:id="187560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cbi.nlm.nih.gov/sites/entrez?Db=pubmed&amp;Cmd=ShowDetailView&amp;TermToSearch=17554342&amp;ordinalpos=1&amp;itool=EntrezSystem2.PEntrez.Pubmed.Pubmed_ResultsPanel.Pubmed_RVDocSum" TargetMode="External"/><Relationship Id="rId2" Type="http://schemas.openxmlformats.org/officeDocument/2006/relationships/customXml" Target="../customXml/item2.xml"/><Relationship Id="rId16" Type="http://schemas.openxmlformats.org/officeDocument/2006/relationships/hyperlink" Target="http://ctep.cancer.gov/protocolDevelopment/electronic_applications/ctc.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PowerPoint_Slide1.sldx"/><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_ADMIN\TEMPLATES\Clinical\CSR,%20Phase%202+3%20-%20V1%20-%2024.09.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2FFD2DDDF7747AF3E214A3F5C6760" ma:contentTypeVersion="0" ma:contentTypeDescription="Create a new document." ma:contentTypeScope="" ma:versionID="89491d3ed1a89a0fc975bcaede2f861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026D-4EF6-4FB7-9257-C3194506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DB0746-E8AF-4B98-B371-37255BF7E92D}">
  <ds:schemaRefs>
    <ds:schemaRef ds:uri="http://schemas.microsoft.com/sharepoint/v3/contenttype/forms"/>
  </ds:schemaRefs>
</ds:datastoreItem>
</file>

<file path=customXml/itemProps3.xml><?xml version="1.0" encoding="utf-8"?>
<ds:datastoreItem xmlns:ds="http://schemas.openxmlformats.org/officeDocument/2006/customXml" ds:itemID="{72D9D7E9-9F67-4667-805C-89A0E9EDC948}">
  <ds:schemaRefs>
    <ds:schemaRef ds:uri="http://schemas.microsoft.com/office/2006/metadata/longProperties"/>
  </ds:schemaRefs>
</ds:datastoreItem>
</file>

<file path=customXml/itemProps4.xml><?xml version="1.0" encoding="utf-8"?>
<ds:datastoreItem xmlns:ds="http://schemas.openxmlformats.org/officeDocument/2006/customXml" ds:itemID="{5CF9A560-AD6B-4974-BD53-981C69D392C5}">
  <ds:schemaRefs>
    <ds:schemaRef ds:uri="http://schemas.microsoft.com/office/2006/metadata/properties"/>
  </ds:schemaRefs>
</ds:datastoreItem>
</file>

<file path=customXml/itemProps5.xml><?xml version="1.0" encoding="utf-8"?>
<ds:datastoreItem xmlns:ds="http://schemas.openxmlformats.org/officeDocument/2006/customXml" ds:itemID="{6E9B6F44-5A55-4360-AB80-B9FC596C303A}">
  <ds:schemaRefs>
    <ds:schemaRef ds:uri="http://schemas.openxmlformats.org/officeDocument/2006/bibliography"/>
  </ds:schemaRefs>
</ds:datastoreItem>
</file>

<file path=customXml/itemProps6.xml><?xml version="1.0" encoding="utf-8"?>
<ds:datastoreItem xmlns:ds="http://schemas.openxmlformats.org/officeDocument/2006/customXml" ds:itemID="{27CBB07F-CB4E-4AF3-9004-9750C237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CSR, Phase 2+3 - V1 - 24.09.02</Template>
  <TotalTime>0</TotalTime>
  <Pages>37</Pages>
  <Words>14354</Words>
  <Characters>81819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PRINT AND READ THESE INSTRUCTIONS BEFORE USING THIS TEMPLATE</vt:lpstr>
    </vt:vector>
  </TitlesOfParts>
  <Company>GW</Company>
  <LinksUpToDate>false</LinksUpToDate>
  <CharactersWithSpaces>95982</CharactersWithSpaces>
  <SharedDoc>false</SharedDoc>
  <HLinks>
    <vt:vector size="540" baseType="variant">
      <vt:variant>
        <vt:i4>4194354</vt:i4>
      </vt:variant>
      <vt:variant>
        <vt:i4>551</vt:i4>
      </vt:variant>
      <vt:variant>
        <vt:i4>0</vt:i4>
      </vt:variant>
      <vt:variant>
        <vt:i4>5</vt:i4>
      </vt:variant>
      <vt:variant>
        <vt:lpwstr/>
      </vt:variant>
      <vt:variant>
        <vt:lpwstr>_ENREF_19</vt:lpwstr>
      </vt:variant>
      <vt:variant>
        <vt:i4>4194355</vt:i4>
      </vt:variant>
      <vt:variant>
        <vt:i4>543</vt:i4>
      </vt:variant>
      <vt:variant>
        <vt:i4>0</vt:i4>
      </vt:variant>
      <vt:variant>
        <vt:i4>5</vt:i4>
      </vt:variant>
      <vt:variant>
        <vt:lpwstr/>
      </vt:variant>
      <vt:variant>
        <vt:lpwstr>_ENREF_18</vt:lpwstr>
      </vt:variant>
      <vt:variant>
        <vt:i4>4194364</vt:i4>
      </vt:variant>
      <vt:variant>
        <vt:i4>535</vt:i4>
      </vt:variant>
      <vt:variant>
        <vt:i4>0</vt:i4>
      </vt:variant>
      <vt:variant>
        <vt:i4>5</vt:i4>
      </vt:variant>
      <vt:variant>
        <vt:lpwstr/>
      </vt:variant>
      <vt:variant>
        <vt:lpwstr>_ENREF_17</vt:lpwstr>
      </vt:variant>
      <vt:variant>
        <vt:i4>4194365</vt:i4>
      </vt:variant>
      <vt:variant>
        <vt:i4>527</vt:i4>
      </vt:variant>
      <vt:variant>
        <vt:i4>0</vt:i4>
      </vt:variant>
      <vt:variant>
        <vt:i4>5</vt:i4>
      </vt:variant>
      <vt:variant>
        <vt:lpwstr/>
      </vt:variant>
      <vt:variant>
        <vt:lpwstr>_ENREF_16</vt:lpwstr>
      </vt:variant>
      <vt:variant>
        <vt:i4>4194366</vt:i4>
      </vt:variant>
      <vt:variant>
        <vt:i4>519</vt:i4>
      </vt:variant>
      <vt:variant>
        <vt:i4>0</vt:i4>
      </vt:variant>
      <vt:variant>
        <vt:i4>5</vt:i4>
      </vt:variant>
      <vt:variant>
        <vt:lpwstr/>
      </vt:variant>
      <vt:variant>
        <vt:lpwstr>_ENREF_15</vt:lpwstr>
      </vt:variant>
      <vt:variant>
        <vt:i4>4194367</vt:i4>
      </vt:variant>
      <vt:variant>
        <vt:i4>511</vt:i4>
      </vt:variant>
      <vt:variant>
        <vt:i4>0</vt:i4>
      </vt:variant>
      <vt:variant>
        <vt:i4>5</vt:i4>
      </vt:variant>
      <vt:variant>
        <vt:lpwstr/>
      </vt:variant>
      <vt:variant>
        <vt:lpwstr>_ENREF_14</vt:lpwstr>
      </vt:variant>
      <vt:variant>
        <vt:i4>4194360</vt:i4>
      </vt:variant>
      <vt:variant>
        <vt:i4>505</vt:i4>
      </vt:variant>
      <vt:variant>
        <vt:i4>0</vt:i4>
      </vt:variant>
      <vt:variant>
        <vt:i4>5</vt:i4>
      </vt:variant>
      <vt:variant>
        <vt:lpwstr/>
      </vt:variant>
      <vt:variant>
        <vt:lpwstr>_ENREF_13</vt:lpwstr>
      </vt:variant>
      <vt:variant>
        <vt:i4>4194360</vt:i4>
      </vt:variant>
      <vt:variant>
        <vt:i4>499</vt:i4>
      </vt:variant>
      <vt:variant>
        <vt:i4>0</vt:i4>
      </vt:variant>
      <vt:variant>
        <vt:i4>5</vt:i4>
      </vt:variant>
      <vt:variant>
        <vt:lpwstr/>
      </vt:variant>
      <vt:variant>
        <vt:lpwstr>_ENREF_13</vt:lpwstr>
      </vt:variant>
      <vt:variant>
        <vt:i4>4784139</vt:i4>
      </vt:variant>
      <vt:variant>
        <vt:i4>493</vt:i4>
      </vt:variant>
      <vt:variant>
        <vt:i4>0</vt:i4>
      </vt:variant>
      <vt:variant>
        <vt:i4>5</vt:i4>
      </vt:variant>
      <vt:variant>
        <vt:lpwstr/>
      </vt:variant>
      <vt:variant>
        <vt:lpwstr>_ENREF_8</vt:lpwstr>
      </vt:variant>
      <vt:variant>
        <vt:i4>4194361</vt:i4>
      </vt:variant>
      <vt:variant>
        <vt:i4>487</vt:i4>
      </vt:variant>
      <vt:variant>
        <vt:i4>0</vt:i4>
      </vt:variant>
      <vt:variant>
        <vt:i4>5</vt:i4>
      </vt:variant>
      <vt:variant>
        <vt:lpwstr/>
      </vt:variant>
      <vt:variant>
        <vt:lpwstr>_ENREF_12</vt:lpwstr>
      </vt:variant>
      <vt:variant>
        <vt:i4>4194362</vt:i4>
      </vt:variant>
      <vt:variant>
        <vt:i4>481</vt:i4>
      </vt:variant>
      <vt:variant>
        <vt:i4>0</vt:i4>
      </vt:variant>
      <vt:variant>
        <vt:i4>5</vt:i4>
      </vt:variant>
      <vt:variant>
        <vt:lpwstr/>
      </vt:variant>
      <vt:variant>
        <vt:lpwstr>_ENREF_11</vt:lpwstr>
      </vt:variant>
      <vt:variant>
        <vt:i4>4784139</vt:i4>
      </vt:variant>
      <vt:variant>
        <vt:i4>475</vt:i4>
      </vt:variant>
      <vt:variant>
        <vt:i4>0</vt:i4>
      </vt:variant>
      <vt:variant>
        <vt:i4>5</vt:i4>
      </vt:variant>
      <vt:variant>
        <vt:lpwstr/>
      </vt:variant>
      <vt:variant>
        <vt:lpwstr>_ENREF_8</vt:lpwstr>
      </vt:variant>
      <vt:variant>
        <vt:i4>4194363</vt:i4>
      </vt:variant>
      <vt:variant>
        <vt:i4>469</vt:i4>
      </vt:variant>
      <vt:variant>
        <vt:i4>0</vt:i4>
      </vt:variant>
      <vt:variant>
        <vt:i4>5</vt:i4>
      </vt:variant>
      <vt:variant>
        <vt:lpwstr/>
      </vt:variant>
      <vt:variant>
        <vt:lpwstr>_ENREF_10</vt:lpwstr>
      </vt:variant>
      <vt:variant>
        <vt:i4>4718603</vt:i4>
      </vt:variant>
      <vt:variant>
        <vt:i4>463</vt:i4>
      </vt:variant>
      <vt:variant>
        <vt:i4>0</vt:i4>
      </vt:variant>
      <vt:variant>
        <vt:i4>5</vt:i4>
      </vt:variant>
      <vt:variant>
        <vt:lpwstr/>
      </vt:variant>
      <vt:variant>
        <vt:lpwstr>_ENREF_9</vt:lpwstr>
      </vt:variant>
      <vt:variant>
        <vt:i4>4784139</vt:i4>
      </vt:variant>
      <vt:variant>
        <vt:i4>457</vt:i4>
      </vt:variant>
      <vt:variant>
        <vt:i4>0</vt:i4>
      </vt:variant>
      <vt:variant>
        <vt:i4>5</vt:i4>
      </vt:variant>
      <vt:variant>
        <vt:lpwstr/>
      </vt:variant>
      <vt:variant>
        <vt:lpwstr>_ENREF_8</vt:lpwstr>
      </vt:variant>
      <vt:variant>
        <vt:i4>4587531</vt:i4>
      </vt:variant>
      <vt:variant>
        <vt:i4>449</vt:i4>
      </vt:variant>
      <vt:variant>
        <vt:i4>0</vt:i4>
      </vt:variant>
      <vt:variant>
        <vt:i4>5</vt:i4>
      </vt:variant>
      <vt:variant>
        <vt:lpwstr/>
      </vt:variant>
      <vt:variant>
        <vt:lpwstr>_ENREF_7</vt:lpwstr>
      </vt:variant>
      <vt:variant>
        <vt:i4>4456459</vt:i4>
      </vt:variant>
      <vt:variant>
        <vt:i4>441</vt:i4>
      </vt:variant>
      <vt:variant>
        <vt:i4>0</vt:i4>
      </vt:variant>
      <vt:variant>
        <vt:i4>5</vt:i4>
      </vt:variant>
      <vt:variant>
        <vt:lpwstr/>
      </vt:variant>
      <vt:variant>
        <vt:lpwstr>_ENREF_5</vt:lpwstr>
      </vt:variant>
      <vt:variant>
        <vt:i4>4653067</vt:i4>
      </vt:variant>
      <vt:variant>
        <vt:i4>433</vt:i4>
      </vt:variant>
      <vt:variant>
        <vt:i4>0</vt:i4>
      </vt:variant>
      <vt:variant>
        <vt:i4>5</vt:i4>
      </vt:variant>
      <vt:variant>
        <vt:lpwstr/>
      </vt:variant>
      <vt:variant>
        <vt:lpwstr>_ENREF_6</vt:lpwstr>
      </vt:variant>
      <vt:variant>
        <vt:i4>4456459</vt:i4>
      </vt:variant>
      <vt:variant>
        <vt:i4>425</vt:i4>
      </vt:variant>
      <vt:variant>
        <vt:i4>0</vt:i4>
      </vt:variant>
      <vt:variant>
        <vt:i4>5</vt:i4>
      </vt:variant>
      <vt:variant>
        <vt:lpwstr/>
      </vt:variant>
      <vt:variant>
        <vt:lpwstr>_ENREF_5</vt:lpwstr>
      </vt:variant>
      <vt:variant>
        <vt:i4>4390923</vt:i4>
      </vt:variant>
      <vt:variant>
        <vt:i4>417</vt:i4>
      </vt:variant>
      <vt:variant>
        <vt:i4>0</vt:i4>
      </vt:variant>
      <vt:variant>
        <vt:i4>5</vt:i4>
      </vt:variant>
      <vt:variant>
        <vt:lpwstr/>
      </vt:variant>
      <vt:variant>
        <vt:lpwstr>_ENREF_2</vt:lpwstr>
      </vt:variant>
      <vt:variant>
        <vt:i4>4194315</vt:i4>
      </vt:variant>
      <vt:variant>
        <vt:i4>411</vt:i4>
      </vt:variant>
      <vt:variant>
        <vt:i4>0</vt:i4>
      </vt:variant>
      <vt:variant>
        <vt:i4>5</vt:i4>
      </vt:variant>
      <vt:variant>
        <vt:lpwstr/>
      </vt:variant>
      <vt:variant>
        <vt:lpwstr>_ENREF_1</vt:lpwstr>
      </vt:variant>
      <vt:variant>
        <vt:i4>1245186</vt:i4>
      </vt:variant>
      <vt:variant>
        <vt:i4>404</vt:i4>
      </vt:variant>
      <vt:variant>
        <vt:i4>0</vt:i4>
      </vt:variant>
      <vt:variant>
        <vt:i4>5</vt:i4>
      </vt:variant>
      <vt:variant>
        <vt:lpwstr/>
      </vt:variant>
      <vt:variant>
        <vt:lpwstr>_Toc360626320</vt:lpwstr>
      </vt:variant>
      <vt:variant>
        <vt:i4>1048587</vt:i4>
      </vt:variant>
      <vt:variant>
        <vt:i4>398</vt:i4>
      </vt:variant>
      <vt:variant>
        <vt:i4>0</vt:i4>
      </vt:variant>
      <vt:variant>
        <vt:i4>5</vt:i4>
      </vt:variant>
      <vt:variant>
        <vt:lpwstr/>
      </vt:variant>
      <vt:variant>
        <vt:lpwstr>_Toc360626319</vt:lpwstr>
      </vt:variant>
      <vt:variant>
        <vt:i4>1048586</vt:i4>
      </vt:variant>
      <vt:variant>
        <vt:i4>392</vt:i4>
      </vt:variant>
      <vt:variant>
        <vt:i4>0</vt:i4>
      </vt:variant>
      <vt:variant>
        <vt:i4>5</vt:i4>
      </vt:variant>
      <vt:variant>
        <vt:lpwstr/>
      </vt:variant>
      <vt:variant>
        <vt:lpwstr>_Toc360626318</vt:lpwstr>
      </vt:variant>
      <vt:variant>
        <vt:i4>1048581</vt:i4>
      </vt:variant>
      <vt:variant>
        <vt:i4>386</vt:i4>
      </vt:variant>
      <vt:variant>
        <vt:i4>0</vt:i4>
      </vt:variant>
      <vt:variant>
        <vt:i4>5</vt:i4>
      </vt:variant>
      <vt:variant>
        <vt:lpwstr/>
      </vt:variant>
      <vt:variant>
        <vt:lpwstr>_Toc360626317</vt:lpwstr>
      </vt:variant>
      <vt:variant>
        <vt:i4>1048580</vt:i4>
      </vt:variant>
      <vt:variant>
        <vt:i4>380</vt:i4>
      </vt:variant>
      <vt:variant>
        <vt:i4>0</vt:i4>
      </vt:variant>
      <vt:variant>
        <vt:i4>5</vt:i4>
      </vt:variant>
      <vt:variant>
        <vt:lpwstr/>
      </vt:variant>
      <vt:variant>
        <vt:lpwstr>_Toc360626316</vt:lpwstr>
      </vt:variant>
      <vt:variant>
        <vt:i4>1048583</vt:i4>
      </vt:variant>
      <vt:variant>
        <vt:i4>374</vt:i4>
      </vt:variant>
      <vt:variant>
        <vt:i4>0</vt:i4>
      </vt:variant>
      <vt:variant>
        <vt:i4>5</vt:i4>
      </vt:variant>
      <vt:variant>
        <vt:lpwstr/>
      </vt:variant>
      <vt:variant>
        <vt:lpwstr>_Toc360626315</vt:lpwstr>
      </vt:variant>
      <vt:variant>
        <vt:i4>1048582</vt:i4>
      </vt:variant>
      <vt:variant>
        <vt:i4>368</vt:i4>
      </vt:variant>
      <vt:variant>
        <vt:i4>0</vt:i4>
      </vt:variant>
      <vt:variant>
        <vt:i4>5</vt:i4>
      </vt:variant>
      <vt:variant>
        <vt:lpwstr/>
      </vt:variant>
      <vt:variant>
        <vt:lpwstr>_Toc360626314</vt:lpwstr>
      </vt:variant>
      <vt:variant>
        <vt:i4>1048577</vt:i4>
      </vt:variant>
      <vt:variant>
        <vt:i4>362</vt:i4>
      </vt:variant>
      <vt:variant>
        <vt:i4>0</vt:i4>
      </vt:variant>
      <vt:variant>
        <vt:i4>5</vt:i4>
      </vt:variant>
      <vt:variant>
        <vt:lpwstr/>
      </vt:variant>
      <vt:variant>
        <vt:lpwstr>_Toc360626313</vt:lpwstr>
      </vt:variant>
      <vt:variant>
        <vt:i4>1048576</vt:i4>
      </vt:variant>
      <vt:variant>
        <vt:i4>356</vt:i4>
      </vt:variant>
      <vt:variant>
        <vt:i4>0</vt:i4>
      </vt:variant>
      <vt:variant>
        <vt:i4>5</vt:i4>
      </vt:variant>
      <vt:variant>
        <vt:lpwstr/>
      </vt:variant>
      <vt:variant>
        <vt:lpwstr>_Toc360626312</vt:lpwstr>
      </vt:variant>
      <vt:variant>
        <vt:i4>1048579</vt:i4>
      </vt:variant>
      <vt:variant>
        <vt:i4>350</vt:i4>
      </vt:variant>
      <vt:variant>
        <vt:i4>0</vt:i4>
      </vt:variant>
      <vt:variant>
        <vt:i4>5</vt:i4>
      </vt:variant>
      <vt:variant>
        <vt:lpwstr/>
      </vt:variant>
      <vt:variant>
        <vt:lpwstr>_Toc360626311</vt:lpwstr>
      </vt:variant>
      <vt:variant>
        <vt:i4>1048578</vt:i4>
      </vt:variant>
      <vt:variant>
        <vt:i4>344</vt:i4>
      </vt:variant>
      <vt:variant>
        <vt:i4>0</vt:i4>
      </vt:variant>
      <vt:variant>
        <vt:i4>5</vt:i4>
      </vt:variant>
      <vt:variant>
        <vt:lpwstr/>
      </vt:variant>
      <vt:variant>
        <vt:lpwstr>_Toc360626310</vt:lpwstr>
      </vt:variant>
      <vt:variant>
        <vt:i4>1114123</vt:i4>
      </vt:variant>
      <vt:variant>
        <vt:i4>338</vt:i4>
      </vt:variant>
      <vt:variant>
        <vt:i4>0</vt:i4>
      </vt:variant>
      <vt:variant>
        <vt:i4>5</vt:i4>
      </vt:variant>
      <vt:variant>
        <vt:lpwstr/>
      </vt:variant>
      <vt:variant>
        <vt:lpwstr>_Toc360626309</vt:lpwstr>
      </vt:variant>
      <vt:variant>
        <vt:i4>1114122</vt:i4>
      </vt:variant>
      <vt:variant>
        <vt:i4>332</vt:i4>
      </vt:variant>
      <vt:variant>
        <vt:i4>0</vt:i4>
      </vt:variant>
      <vt:variant>
        <vt:i4>5</vt:i4>
      </vt:variant>
      <vt:variant>
        <vt:lpwstr/>
      </vt:variant>
      <vt:variant>
        <vt:lpwstr>_Toc360626308</vt:lpwstr>
      </vt:variant>
      <vt:variant>
        <vt:i4>1114117</vt:i4>
      </vt:variant>
      <vt:variant>
        <vt:i4>326</vt:i4>
      </vt:variant>
      <vt:variant>
        <vt:i4>0</vt:i4>
      </vt:variant>
      <vt:variant>
        <vt:i4>5</vt:i4>
      </vt:variant>
      <vt:variant>
        <vt:lpwstr/>
      </vt:variant>
      <vt:variant>
        <vt:lpwstr>_Toc360626307</vt:lpwstr>
      </vt:variant>
      <vt:variant>
        <vt:i4>1114116</vt:i4>
      </vt:variant>
      <vt:variant>
        <vt:i4>320</vt:i4>
      </vt:variant>
      <vt:variant>
        <vt:i4>0</vt:i4>
      </vt:variant>
      <vt:variant>
        <vt:i4>5</vt:i4>
      </vt:variant>
      <vt:variant>
        <vt:lpwstr/>
      </vt:variant>
      <vt:variant>
        <vt:lpwstr>_Toc360626306</vt:lpwstr>
      </vt:variant>
      <vt:variant>
        <vt:i4>1114119</vt:i4>
      </vt:variant>
      <vt:variant>
        <vt:i4>314</vt:i4>
      </vt:variant>
      <vt:variant>
        <vt:i4>0</vt:i4>
      </vt:variant>
      <vt:variant>
        <vt:i4>5</vt:i4>
      </vt:variant>
      <vt:variant>
        <vt:lpwstr/>
      </vt:variant>
      <vt:variant>
        <vt:lpwstr>_Toc360626305</vt:lpwstr>
      </vt:variant>
      <vt:variant>
        <vt:i4>1114118</vt:i4>
      </vt:variant>
      <vt:variant>
        <vt:i4>308</vt:i4>
      </vt:variant>
      <vt:variant>
        <vt:i4>0</vt:i4>
      </vt:variant>
      <vt:variant>
        <vt:i4>5</vt:i4>
      </vt:variant>
      <vt:variant>
        <vt:lpwstr/>
      </vt:variant>
      <vt:variant>
        <vt:lpwstr>_Toc360626304</vt:lpwstr>
      </vt:variant>
      <vt:variant>
        <vt:i4>1114113</vt:i4>
      </vt:variant>
      <vt:variant>
        <vt:i4>302</vt:i4>
      </vt:variant>
      <vt:variant>
        <vt:i4>0</vt:i4>
      </vt:variant>
      <vt:variant>
        <vt:i4>5</vt:i4>
      </vt:variant>
      <vt:variant>
        <vt:lpwstr/>
      </vt:variant>
      <vt:variant>
        <vt:lpwstr>_Toc360626303</vt:lpwstr>
      </vt:variant>
      <vt:variant>
        <vt:i4>1114112</vt:i4>
      </vt:variant>
      <vt:variant>
        <vt:i4>296</vt:i4>
      </vt:variant>
      <vt:variant>
        <vt:i4>0</vt:i4>
      </vt:variant>
      <vt:variant>
        <vt:i4>5</vt:i4>
      </vt:variant>
      <vt:variant>
        <vt:lpwstr/>
      </vt:variant>
      <vt:variant>
        <vt:lpwstr>_Toc360626302</vt:lpwstr>
      </vt:variant>
      <vt:variant>
        <vt:i4>1114115</vt:i4>
      </vt:variant>
      <vt:variant>
        <vt:i4>290</vt:i4>
      </vt:variant>
      <vt:variant>
        <vt:i4>0</vt:i4>
      </vt:variant>
      <vt:variant>
        <vt:i4>5</vt:i4>
      </vt:variant>
      <vt:variant>
        <vt:lpwstr/>
      </vt:variant>
      <vt:variant>
        <vt:lpwstr>_Toc360626301</vt:lpwstr>
      </vt:variant>
      <vt:variant>
        <vt:i4>1114114</vt:i4>
      </vt:variant>
      <vt:variant>
        <vt:i4>284</vt:i4>
      </vt:variant>
      <vt:variant>
        <vt:i4>0</vt:i4>
      </vt:variant>
      <vt:variant>
        <vt:i4>5</vt:i4>
      </vt:variant>
      <vt:variant>
        <vt:lpwstr/>
      </vt:variant>
      <vt:variant>
        <vt:lpwstr>_Toc360626300</vt:lpwstr>
      </vt:variant>
      <vt:variant>
        <vt:i4>1572874</vt:i4>
      </vt:variant>
      <vt:variant>
        <vt:i4>278</vt:i4>
      </vt:variant>
      <vt:variant>
        <vt:i4>0</vt:i4>
      </vt:variant>
      <vt:variant>
        <vt:i4>5</vt:i4>
      </vt:variant>
      <vt:variant>
        <vt:lpwstr/>
      </vt:variant>
      <vt:variant>
        <vt:lpwstr>_Toc360626299</vt:lpwstr>
      </vt:variant>
      <vt:variant>
        <vt:i4>1572875</vt:i4>
      </vt:variant>
      <vt:variant>
        <vt:i4>272</vt:i4>
      </vt:variant>
      <vt:variant>
        <vt:i4>0</vt:i4>
      </vt:variant>
      <vt:variant>
        <vt:i4>5</vt:i4>
      </vt:variant>
      <vt:variant>
        <vt:lpwstr/>
      </vt:variant>
      <vt:variant>
        <vt:lpwstr>_Toc360626298</vt:lpwstr>
      </vt:variant>
      <vt:variant>
        <vt:i4>1572868</vt:i4>
      </vt:variant>
      <vt:variant>
        <vt:i4>266</vt:i4>
      </vt:variant>
      <vt:variant>
        <vt:i4>0</vt:i4>
      </vt:variant>
      <vt:variant>
        <vt:i4>5</vt:i4>
      </vt:variant>
      <vt:variant>
        <vt:lpwstr/>
      </vt:variant>
      <vt:variant>
        <vt:lpwstr>_Toc360626297</vt:lpwstr>
      </vt:variant>
      <vt:variant>
        <vt:i4>1572869</vt:i4>
      </vt:variant>
      <vt:variant>
        <vt:i4>260</vt:i4>
      </vt:variant>
      <vt:variant>
        <vt:i4>0</vt:i4>
      </vt:variant>
      <vt:variant>
        <vt:i4>5</vt:i4>
      </vt:variant>
      <vt:variant>
        <vt:lpwstr/>
      </vt:variant>
      <vt:variant>
        <vt:lpwstr>_Toc360626296</vt:lpwstr>
      </vt:variant>
      <vt:variant>
        <vt:i4>1572870</vt:i4>
      </vt:variant>
      <vt:variant>
        <vt:i4>254</vt:i4>
      </vt:variant>
      <vt:variant>
        <vt:i4>0</vt:i4>
      </vt:variant>
      <vt:variant>
        <vt:i4>5</vt:i4>
      </vt:variant>
      <vt:variant>
        <vt:lpwstr/>
      </vt:variant>
      <vt:variant>
        <vt:lpwstr>_Toc360626295</vt:lpwstr>
      </vt:variant>
      <vt:variant>
        <vt:i4>1572871</vt:i4>
      </vt:variant>
      <vt:variant>
        <vt:i4>248</vt:i4>
      </vt:variant>
      <vt:variant>
        <vt:i4>0</vt:i4>
      </vt:variant>
      <vt:variant>
        <vt:i4>5</vt:i4>
      </vt:variant>
      <vt:variant>
        <vt:lpwstr/>
      </vt:variant>
      <vt:variant>
        <vt:lpwstr>_Toc360626294</vt:lpwstr>
      </vt:variant>
      <vt:variant>
        <vt:i4>1572864</vt:i4>
      </vt:variant>
      <vt:variant>
        <vt:i4>242</vt:i4>
      </vt:variant>
      <vt:variant>
        <vt:i4>0</vt:i4>
      </vt:variant>
      <vt:variant>
        <vt:i4>5</vt:i4>
      </vt:variant>
      <vt:variant>
        <vt:lpwstr/>
      </vt:variant>
      <vt:variant>
        <vt:lpwstr>_Toc360626293</vt:lpwstr>
      </vt:variant>
      <vt:variant>
        <vt:i4>1572865</vt:i4>
      </vt:variant>
      <vt:variant>
        <vt:i4>236</vt:i4>
      </vt:variant>
      <vt:variant>
        <vt:i4>0</vt:i4>
      </vt:variant>
      <vt:variant>
        <vt:i4>5</vt:i4>
      </vt:variant>
      <vt:variant>
        <vt:lpwstr/>
      </vt:variant>
      <vt:variant>
        <vt:lpwstr>_Toc360626292</vt:lpwstr>
      </vt:variant>
      <vt:variant>
        <vt:i4>1572866</vt:i4>
      </vt:variant>
      <vt:variant>
        <vt:i4>230</vt:i4>
      </vt:variant>
      <vt:variant>
        <vt:i4>0</vt:i4>
      </vt:variant>
      <vt:variant>
        <vt:i4>5</vt:i4>
      </vt:variant>
      <vt:variant>
        <vt:lpwstr/>
      </vt:variant>
      <vt:variant>
        <vt:lpwstr>_Toc360626291</vt:lpwstr>
      </vt:variant>
      <vt:variant>
        <vt:i4>1572867</vt:i4>
      </vt:variant>
      <vt:variant>
        <vt:i4>224</vt:i4>
      </vt:variant>
      <vt:variant>
        <vt:i4>0</vt:i4>
      </vt:variant>
      <vt:variant>
        <vt:i4>5</vt:i4>
      </vt:variant>
      <vt:variant>
        <vt:lpwstr/>
      </vt:variant>
      <vt:variant>
        <vt:lpwstr>_Toc360626290</vt:lpwstr>
      </vt:variant>
      <vt:variant>
        <vt:i4>1638410</vt:i4>
      </vt:variant>
      <vt:variant>
        <vt:i4>218</vt:i4>
      </vt:variant>
      <vt:variant>
        <vt:i4>0</vt:i4>
      </vt:variant>
      <vt:variant>
        <vt:i4>5</vt:i4>
      </vt:variant>
      <vt:variant>
        <vt:lpwstr/>
      </vt:variant>
      <vt:variant>
        <vt:lpwstr>_Toc360626289</vt:lpwstr>
      </vt:variant>
      <vt:variant>
        <vt:i4>1638411</vt:i4>
      </vt:variant>
      <vt:variant>
        <vt:i4>212</vt:i4>
      </vt:variant>
      <vt:variant>
        <vt:i4>0</vt:i4>
      </vt:variant>
      <vt:variant>
        <vt:i4>5</vt:i4>
      </vt:variant>
      <vt:variant>
        <vt:lpwstr/>
      </vt:variant>
      <vt:variant>
        <vt:lpwstr>_Toc360626288</vt:lpwstr>
      </vt:variant>
      <vt:variant>
        <vt:i4>1638404</vt:i4>
      </vt:variant>
      <vt:variant>
        <vt:i4>206</vt:i4>
      </vt:variant>
      <vt:variant>
        <vt:i4>0</vt:i4>
      </vt:variant>
      <vt:variant>
        <vt:i4>5</vt:i4>
      </vt:variant>
      <vt:variant>
        <vt:lpwstr/>
      </vt:variant>
      <vt:variant>
        <vt:lpwstr>_Toc360626287</vt:lpwstr>
      </vt:variant>
      <vt:variant>
        <vt:i4>1638405</vt:i4>
      </vt:variant>
      <vt:variant>
        <vt:i4>200</vt:i4>
      </vt:variant>
      <vt:variant>
        <vt:i4>0</vt:i4>
      </vt:variant>
      <vt:variant>
        <vt:i4>5</vt:i4>
      </vt:variant>
      <vt:variant>
        <vt:lpwstr/>
      </vt:variant>
      <vt:variant>
        <vt:lpwstr>_Toc360626286</vt:lpwstr>
      </vt:variant>
      <vt:variant>
        <vt:i4>1638406</vt:i4>
      </vt:variant>
      <vt:variant>
        <vt:i4>194</vt:i4>
      </vt:variant>
      <vt:variant>
        <vt:i4>0</vt:i4>
      </vt:variant>
      <vt:variant>
        <vt:i4>5</vt:i4>
      </vt:variant>
      <vt:variant>
        <vt:lpwstr/>
      </vt:variant>
      <vt:variant>
        <vt:lpwstr>_Toc360626285</vt:lpwstr>
      </vt:variant>
      <vt:variant>
        <vt:i4>1638407</vt:i4>
      </vt:variant>
      <vt:variant>
        <vt:i4>188</vt:i4>
      </vt:variant>
      <vt:variant>
        <vt:i4>0</vt:i4>
      </vt:variant>
      <vt:variant>
        <vt:i4>5</vt:i4>
      </vt:variant>
      <vt:variant>
        <vt:lpwstr/>
      </vt:variant>
      <vt:variant>
        <vt:lpwstr>_Toc360626284</vt:lpwstr>
      </vt:variant>
      <vt:variant>
        <vt:i4>1638400</vt:i4>
      </vt:variant>
      <vt:variant>
        <vt:i4>182</vt:i4>
      </vt:variant>
      <vt:variant>
        <vt:i4>0</vt:i4>
      </vt:variant>
      <vt:variant>
        <vt:i4>5</vt:i4>
      </vt:variant>
      <vt:variant>
        <vt:lpwstr/>
      </vt:variant>
      <vt:variant>
        <vt:lpwstr>_Toc360626283</vt:lpwstr>
      </vt:variant>
      <vt:variant>
        <vt:i4>1638401</vt:i4>
      </vt:variant>
      <vt:variant>
        <vt:i4>176</vt:i4>
      </vt:variant>
      <vt:variant>
        <vt:i4>0</vt:i4>
      </vt:variant>
      <vt:variant>
        <vt:i4>5</vt:i4>
      </vt:variant>
      <vt:variant>
        <vt:lpwstr/>
      </vt:variant>
      <vt:variant>
        <vt:lpwstr>_Toc360626282</vt:lpwstr>
      </vt:variant>
      <vt:variant>
        <vt:i4>1638402</vt:i4>
      </vt:variant>
      <vt:variant>
        <vt:i4>170</vt:i4>
      </vt:variant>
      <vt:variant>
        <vt:i4>0</vt:i4>
      </vt:variant>
      <vt:variant>
        <vt:i4>5</vt:i4>
      </vt:variant>
      <vt:variant>
        <vt:lpwstr/>
      </vt:variant>
      <vt:variant>
        <vt:lpwstr>_Toc360626281</vt:lpwstr>
      </vt:variant>
      <vt:variant>
        <vt:i4>1638403</vt:i4>
      </vt:variant>
      <vt:variant>
        <vt:i4>164</vt:i4>
      </vt:variant>
      <vt:variant>
        <vt:i4>0</vt:i4>
      </vt:variant>
      <vt:variant>
        <vt:i4>5</vt:i4>
      </vt:variant>
      <vt:variant>
        <vt:lpwstr/>
      </vt:variant>
      <vt:variant>
        <vt:lpwstr>_Toc360626280</vt:lpwstr>
      </vt:variant>
      <vt:variant>
        <vt:i4>1441802</vt:i4>
      </vt:variant>
      <vt:variant>
        <vt:i4>158</vt:i4>
      </vt:variant>
      <vt:variant>
        <vt:i4>0</vt:i4>
      </vt:variant>
      <vt:variant>
        <vt:i4>5</vt:i4>
      </vt:variant>
      <vt:variant>
        <vt:lpwstr/>
      </vt:variant>
      <vt:variant>
        <vt:lpwstr>_Toc360626279</vt:lpwstr>
      </vt:variant>
      <vt:variant>
        <vt:i4>1441803</vt:i4>
      </vt:variant>
      <vt:variant>
        <vt:i4>152</vt:i4>
      </vt:variant>
      <vt:variant>
        <vt:i4>0</vt:i4>
      </vt:variant>
      <vt:variant>
        <vt:i4>5</vt:i4>
      </vt:variant>
      <vt:variant>
        <vt:lpwstr/>
      </vt:variant>
      <vt:variant>
        <vt:lpwstr>_Toc360626278</vt:lpwstr>
      </vt:variant>
      <vt:variant>
        <vt:i4>1441796</vt:i4>
      </vt:variant>
      <vt:variant>
        <vt:i4>146</vt:i4>
      </vt:variant>
      <vt:variant>
        <vt:i4>0</vt:i4>
      </vt:variant>
      <vt:variant>
        <vt:i4>5</vt:i4>
      </vt:variant>
      <vt:variant>
        <vt:lpwstr/>
      </vt:variant>
      <vt:variant>
        <vt:lpwstr>_Toc360626277</vt:lpwstr>
      </vt:variant>
      <vt:variant>
        <vt:i4>1441797</vt:i4>
      </vt:variant>
      <vt:variant>
        <vt:i4>140</vt:i4>
      </vt:variant>
      <vt:variant>
        <vt:i4>0</vt:i4>
      </vt:variant>
      <vt:variant>
        <vt:i4>5</vt:i4>
      </vt:variant>
      <vt:variant>
        <vt:lpwstr/>
      </vt:variant>
      <vt:variant>
        <vt:lpwstr>_Toc360626276</vt:lpwstr>
      </vt:variant>
      <vt:variant>
        <vt:i4>1441798</vt:i4>
      </vt:variant>
      <vt:variant>
        <vt:i4>134</vt:i4>
      </vt:variant>
      <vt:variant>
        <vt:i4>0</vt:i4>
      </vt:variant>
      <vt:variant>
        <vt:i4>5</vt:i4>
      </vt:variant>
      <vt:variant>
        <vt:lpwstr/>
      </vt:variant>
      <vt:variant>
        <vt:lpwstr>_Toc360626275</vt:lpwstr>
      </vt:variant>
      <vt:variant>
        <vt:i4>1441799</vt:i4>
      </vt:variant>
      <vt:variant>
        <vt:i4>128</vt:i4>
      </vt:variant>
      <vt:variant>
        <vt:i4>0</vt:i4>
      </vt:variant>
      <vt:variant>
        <vt:i4>5</vt:i4>
      </vt:variant>
      <vt:variant>
        <vt:lpwstr/>
      </vt:variant>
      <vt:variant>
        <vt:lpwstr>_Toc360626274</vt:lpwstr>
      </vt:variant>
      <vt:variant>
        <vt:i4>1441792</vt:i4>
      </vt:variant>
      <vt:variant>
        <vt:i4>122</vt:i4>
      </vt:variant>
      <vt:variant>
        <vt:i4>0</vt:i4>
      </vt:variant>
      <vt:variant>
        <vt:i4>5</vt:i4>
      </vt:variant>
      <vt:variant>
        <vt:lpwstr/>
      </vt:variant>
      <vt:variant>
        <vt:lpwstr>_Toc360626273</vt:lpwstr>
      </vt:variant>
      <vt:variant>
        <vt:i4>1441793</vt:i4>
      </vt:variant>
      <vt:variant>
        <vt:i4>116</vt:i4>
      </vt:variant>
      <vt:variant>
        <vt:i4>0</vt:i4>
      </vt:variant>
      <vt:variant>
        <vt:i4>5</vt:i4>
      </vt:variant>
      <vt:variant>
        <vt:lpwstr/>
      </vt:variant>
      <vt:variant>
        <vt:lpwstr>_Toc360626272</vt:lpwstr>
      </vt:variant>
      <vt:variant>
        <vt:i4>1441794</vt:i4>
      </vt:variant>
      <vt:variant>
        <vt:i4>110</vt:i4>
      </vt:variant>
      <vt:variant>
        <vt:i4>0</vt:i4>
      </vt:variant>
      <vt:variant>
        <vt:i4>5</vt:i4>
      </vt:variant>
      <vt:variant>
        <vt:lpwstr/>
      </vt:variant>
      <vt:variant>
        <vt:lpwstr>_Toc360626271</vt:lpwstr>
      </vt:variant>
      <vt:variant>
        <vt:i4>1441795</vt:i4>
      </vt:variant>
      <vt:variant>
        <vt:i4>104</vt:i4>
      </vt:variant>
      <vt:variant>
        <vt:i4>0</vt:i4>
      </vt:variant>
      <vt:variant>
        <vt:i4>5</vt:i4>
      </vt:variant>
      <vt:variant>
        <vt:lpwstr/>
      </vt:variant>
      <vt:variant>
        <vt:lpwstr>_Toc360626270</vt:lpwstr>
      </vt:variant>
      <vt:variant>
        <vt:i4>1507338</vt:i4>
      </vt:variant>
      <vt:variant>
        <vt:i4>98</vt:i4>
      </vt:variant>
      <vt:variant>
        <vt:i4>0</vt:i4>
      </vt:variant>
      <vt:variant>
        <vt:i4>5</vt:i4>
      </vt:variant>
      <vt:variant>
        <vt:lpwstr/>
      </vt:variant>
      <vt:variant>
        <vt:lpwstr>_Toc360626269</vt:lpwstr>
      </vt:variant>
      <vt:variant>
        <vt:i4>1507339</vt:i4>
      </vt:variant>
      <vt:variant>
        <vt:i4>92</vt:i4>
      </vt:variant>
      <vt:variant>
        <vt:i4>0</vt:i4>
      </vt:variant>
      <vt:variant>
        <vt:i4>5</vt:i4>
      </vt:variant>
      <vt:variant>
        <vt:lpwstr/>
      </vt:variant>
      <vt:variant>
        <vt:lpwstr>_Toc360626268</vt:lpwstr>
      </vt:variant>
      <vt:variant>
        <vt:i4>1507332</vt:i4>
      </vt:variant>
      <vt:variant>
        <vt:i4>86</vt:i4>
      </vt:variant>
      <vt:variant>
        <vt:i4>0</vt:i4>
      </vt:variant>
      <vt:variant>
        <vt:i4>5</vt:i4>
      </vt:variant>
      <vt:variant>
        <vt:lpwstr/>
      </vt:variant>
      <vt:variant>
        <vt:lpwstr>_Toc360626267</vt:lpwstr>
      </vt:variant>
      <vt:variant>
        <vt:i4>1507333</vt:i4>
      </vt:variant>
      <vt:variant>
        <vt:i4>80</vt:i4>
      </vt:variant>
      <vt:variant>
        <vt:i4>0</vt:i4>
      </vt:variant>
      <vt:variant>
        <vt:i4>5</vt:i4>
      </vt:variant>
      <vt:variant>
        <vt:lpwstr/>
      </vt:variant>
      <vt:variant>
        <vt:lpwstr>_Toc360626266</vt:lpwstr>
      </vt:variant>
      <vt:variant>
        <vt:i4>1507334</vt:i4>
      </vt:variant>
      <vt:variant>
        <vt:i4>74</vt:i4>
      </vt:variant>
      <vt:variant>
        <vt:i4>0</vt:i4>
      </vt:variant>
      <vt:variant>
        <vt:i4>5</vt:i4>
      </vt:variant>
      <vt:variant>
        <vt:lpwstr/>
      </vt:variant>
      <vt:variant>
        <vt:lpwstr>_Toc360626265</vt:lpwstr>
      </vt:variant>
      <vt:variant>
        <vt:i4>1507335</vt:i4>
      </vt:variant>
      <vt:variant>
        <vt:i4>68</vt:i4>
      </vt:variant>
      <vt:variant>
        <vt:i4>0</vt:i4>
      </vt:variant>
      <vt:variant>
        <vt:i4>5</vt:i4>
      </vt:variant>
      <vt:variant>
        <vt:lpwstr/>
      </vt:variant>
      <vt:variant>
        <vt:lpwstr>_Toc360626264</vt:lpwstr>
      </vt:variant>
      <vt:variant>
        <vt:i4>1507328</vt:i4>
      </vt:variant>
      <vt:variant>
        <vt:i4>62</vt:i4>
      </vt:variant>
      <vt:variant>
        <vt:i4>0</vt:i4>
      </vt:variant>
      <vt:variant>
        <vt:i4>5</vt:i4>
      </vt:variant>
      <vt:variant>
        <vt:lpwstr/>
      </vt:variant>
      <vt:variant>
        <vt:lpwstr>_Toc360626263</vt:lpwstr>
      </vt:variant>
      <vt:variant>
        <vt:i4>1507329</vt:i4>
      </vt:variant>
      <vt:variant>
        <vt:i4>56</vt:i4>
      </vt:variant>
      <vt:variant>
        <vt:i4>0</vt:i4>
      </vt:variant>
      <vt:variant>
        <vt:i4>5</vt:i4>
      </vt:variant>
      <vt:variant>
        <vt:lpwstr/>
      </vt:variant>
      <vt:variant>
        <vt:lpwstr>_Toc360626262</vt:lpwstr>
      </vt:variant>
      <vt:variant>
        <vt:i4>1507330</vt:i4>
      </vt:variant>
      <vt:variant>
        <vt:i4>50</vt:i4>
      </vt:variant>
      <vt:variant>
        <vt:i4>0</vt:i4>
      </vt:variant>
      <vt:variant>
        <vt:i4>5</vt:i4>
      </vt:variant>
      <vt:variant>
        <vt:lpwstr/>
      </vt:variant>
      <vt:variant>
        <vt:lpwstr>_Toc360626261</vt:lpwstr>
      </vt:variant>
      <vt:variant>
        <vt:i4>1507331</vt:i4>
      </vt:variant>
      <vt:variant>
        <vt:i4>44</vt:i4>
      </vt:variant>
      <vt:variant>
        <vt:i4>0</vt:i4>
      </vt:variant>
      <vt:variant>
        <vt:i4>5</vt:i4>
      </vt:variant>
      <vt:variant>
        <vt:lpwstr/>
      </vt:variant>
      <vt:variant>
        <vt:lpwstr>_Toc360626260</vt:lpwstr>
      </vt:variant>
      <vt:variant>
        <vt:i4>1310730</vt:i4>
      </vt:variant>
      <vt:variant>
        <vt:i4>38</vt:i4>
      </vt:variant>
      <vt:variant>
        <vt:i4>0</vt:i4>
      </vt:variant>
      <vt:variant>
        <vt:i4>5</vt:i4>
      </vt:variant>
      <vt:variant>
        <vt:lpwstr/>
      </vt:variant>
      <vt:variant>
        <vt:lpwstr>_Toc360626259</vt:lpwstr>
      </vt:variant>
      <vt:variant>
        <vt:i4>1310731</vt:i4>
      </vt:variant>
      <vt:variant>
        <vt:i4>32</vt:i4>
      </vt:variant>
      <vt:variant>
        <vt:i4>0</vt:i4>
      </vt:variant>
      <vt:variant>
        <vt:i4>5</vt:i4>
      </vt:variant>
      <vt:variant>
        <vt:lpwstr/>
      </vt:variant>
      <vt:variant>
        <vt:lpwstr>_Toc360626258</vt:lpwstr>
      </vt:variant>
      <vt:variant>
        <vt:i4>1310724</vt:i4>
      </vt:variant>
      <vt:variant>
        <vt:i4>26</vt:i4>
      </vt:variant>
      <vt:variant>
        <vt:i4>0</vt:i4>
      </vt:variant>
      <vt:variant>
        <vt:i4>5</vt:i4>
      </vt:variant>
      <vt:variant>
        <vt:lpwstr/>
      </vt:variant>
      <vt:variant>
        <vt:lpwstr>_Toc360626257</vt:lpwstr>
      </vt:variant>
      <vt:variant>
        <vt:i4>1310725</vt:i4>
      </vt:variant>
      <vt:variant>
        <vt:i4>20</vt:i4>
      </vt:variant>
      <vt:variant>
        <vt:i4>0</vt:i4>
      </vt:variant>
      <vt:variant>
        <vt:i4>5</vt:i4>
      </vt:variant>
      <vt:variant>
        <vt:lpwstr/>
      </vt:variant>
      <vt:variant>
        <vt:lpwstr>_Toc360626256</vt:lpwstr>
      </vt:variant>
      <vt:variant>
        <vt:i4>1310726</vt:i4>
      </vt:variant>
      <vt:variant>
        <vt:i4>14</vt:i4>
      </vt:variant>
      <vt:variant>
        <vt:i4>0</vt:i4>
      </vt:variant>
      <vt:variant>
        <vt:i4>5</vt:i4>
      </vt:variant>
      <vt:variant>
        <vt:lpwstr/>
      </vt:variant>
      <vt:variant>
        <vt:lpwstr>_Toc360626255</vt:lpwstr>
      </vt:variant>
      <vt:variant>
        <vt:i4>1310727</vt:i4>
      </vt:variant>
      <vt:variant>
        <vt:i4>8</vt:i4>
      </vt:variant>
      <vt:variant>
        <vt:i4>0</vt:i4>
      </vt:variant>
      <vt:variant>
        <vt:i4>5</vt:i4>
      </vt:variant>
      <vt:variant>
        <vt:lpwstr/>
      </vt:variant>
      <vt:variant>
        <vt:lpwstr>_Toc360626254</vt:lpwstr>
      </vt:variant>
      <vt:variant>
        <vt:i4>1310720</vt:i4>
      </vt:variant>
      <vt:variant>
        <vt:i4>2</vt:i4>
      </vt:variant>
      <vt:variant>
        <vt:i4>0</vt:i4>
      </vt:variant>
      <vt:variant>
        <vt:i4>5</vt:i4>
      </vt:variant>
      <vt:variant>
        <vt:lpwstr/>
      </vt:variant>
      <vt:variant>
        <vt:lpwstr>_Toc360626253</vt:lpwstr>
      </vt:variant>
      <vt:variant>
        <vt:i4>7405595</vt:i4>
      </vt:variant>
      <vt:variant>
        <vt:i4>86638</vt:i4>
      </vt:variant>
      <vt:variant>
        <vt:i4>1027</vt:i4>
      </vt:variant>
      <vt:variant>
        <vt:i4>1</vt:i4>
      </vt:variant>
      <vt:variant>
        <vt:lpwstr>Aspirin trial schema 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AND READ THESE INSTRUCTIONS BEFORE USING THIS TEMPLATE</dc:title>
  <dc:creator>Marion Watson</dc:creator>
  <cp:lastModifiedBy>Guy Thwaites</cp:lastModifiedBy>
  <cp:revision>3</cp:revision>
  <cp:lastPrinted>2013-10-11T07:35:00Z</cp:lastPrinted>
  <dcterms:created xsi:type="dcterms:W3CDTF">2014-08-12T06:45:00Z</dcterms:created>
  <dcterms:modified xsi:type="dcterms:W3CDTF">2014-08-26T00:47:00Z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