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1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2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B522C1B" w:rsidR="00877644" w:rsidRPr="00125190" w:rsidRDefault="0087566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 calculations were not performed in this study.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355E14B" w:rsidR="00B330BD" w:rsidRPr="00125190" w:rsidRDefault="003559F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Each experiment was performed in triplicate</w:t>
      </w:r>
      <w:r w:rsidR="00024CF0">
        <w:rPr>
          <w:rFonts w:asciiTheme="minorHAnsi" w:hAnsiTheme="minorHAnsi"/>
        </w:rPr>
        <w:t xml:space="preserve"> as biological replicates</w:t>
      </w:r>
      <w:r>
        <w:rPr>
          <w:rFonts w:asciiTheme="minorHAnsi" w:hAnsiTheme="minorHAnsi"/>
        </w:rPr>
        <w:t xml:space="preserve">. For </w:t>
      </w:r>
      <w:r w:rsidR="00875663">
        <w:rPr>
          <w:rFonts w:asciiTheme="minorHAnsi" w:hAnsiTheme="minorHAnsi"/>
        </w:rPr>
        <w:t>transcription</w:t>
      </w:r>
      <w:r>
        <w:rPr>
          <w:rFonts w:asciiTheme="minorHAnsi" w:hAnsiTheme="minorHAnsi"/>
        </w:rPr>
        <w:t xml:space="preserve"> termination experiments</w:t>
      </w:r>
      <w:r w:rsidR="00875663">
        <w:rPr>
          <w:rFonts w:asciiTheme="minorHAnsi" w:hAnsiTheme="minorHAnsi"/>
        </w:rPr>
        <w:t xml:space="preserve"> in Figures 3 and 5</w:t>
      </w:r>
      <w:r>
        <w:rPr>
          <w:rFonts w:asciiTheme="minorHAnsi" w:hAnsiTheme="minorHAnsi"/>
        </w:rPr>
        <w:t xml:space="preserve">, replicates are reported as </w:t>
      </w:r>
      <w:r w:rsidR="00875663">
        <w:rPr>
          <w:rFonts w:asciiTheme="minorHAnsi" w:hAnsiTheme="minorHAnsi"/>
        </w:rPr>
        <w:t>figure supplements.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463CD26" w:rsidR="0015519A" w:rsidRPr="00505C51" w:rsidRDefault="0087566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analyses were not performed because all quantified values were calculated for individual experiment</w:t>
      </w:r>
      <w:r w:rsidR="00A42734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and reported as such.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D55283C" w:rsidR="00BC3CCE" w:rsidRPr="00505C51" w:rsidRDefault="0087566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experimental groups were allocated in this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65D0B3B" w:rsidR="00BC3CCE" w:rsidRPr="00505C51" w:rsidRDefault="0087566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 table of all oligonucleotide sequences used in this study is provided. Alignment (.sto) files used to calculate consensus models in Figure 1 are provided as additional data files.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52368E" w14:textId="77777777" w:rsidR="00990A9C" w:rsidRDefault="00990A9C" w:rsidP="004215FE">
      <w:r>
        <w:separator/>
      </w:r>
    </w:p>
  </w:endnote>
  <w:endnote w:type="continuationSeparator" w:id="0">
    <w:p w14:paraId="5AB928FA" w14:textId="77777777" w:rsidR="00990A9C" w:rsidRDefault="00990A9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1EBC5253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79795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E70AAB" w14:textId="77777777" w:rsidR="00990A9C" w:rsidRDefault="00990A9C" w:rsidP="004215FE">
      <w:r>
        <w:separator/>
      </w:r>
    </w:p>
  </w:footnote>
  <w:footnote w:type="continuationSeparator" w:id="0">
    <w:p w14:paraId="1818D2FE" w14:textId="77777777" w:rsidR="00990A9C" w:rsidRDefault="00990A9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24CF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559FF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39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1483E"/>
    <w:rsid w:val="00762B36"/>
    <w:rsid w:val="00763BA5"/>
    <w:rsid w:val="0076524F"/>
    <w:rsid w:val="00767B26"/>
    <w:rsid w:val="00795CED"/>
    <w:rsid w:val="00797957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5663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0A9C"/>
    <w:rsid w:val="00993065"/>
    <w:rsid w:val="009A0661"/>
    <w:rsid w:val="009D0D28"/>
    <w:rsid w:val="009E6ACE"/>
    <w:rsid w:val="009E7B13"/>
    <w:rsid w:val="00A11EC6"/>
    <w:rsid w:val="00A131BD"/>
    <w:rsid w:val="00A32E20"/>
    <w:rsid w:val="00A42734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C65E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editorial@elifesciences.or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losbiology.org/article/info:doi/10.1371/journal.pbio.1000412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biosharing.org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CA7AF33-844A-41FC-B6EC-4679AF87F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756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5057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Ronald breaker</cp:lastModifiedBy>
  <cp:revision>2</cp:revision>
  <dcterms:created xsi:type="dcterms:W3CDTF">2017-12-04T18:58:00Z</dcterms:created>
  <dcterms:modified xsi:type="dcterms:W3CDTF">2017-12-04T18:58:00Z</dcterms:modified>
</cp:coreProperties>
</file>