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1"/>
        <w:gridCol w:w="4029"/>
        <w:gridCol w:w="2590"/>
      </w:tblGrid>
      <w:tr w:rsidR="002A671C" w:rsidRPr="006B1AA4" w:rsidTr="004C1E1A">
        <w:trPr>
          <w:trHeight w:val="290"/>
        </w:trPr>
        <w:tc>
          <w:tcPr>
            <w:tcW w:w="8630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b/>
                <w:bCs/>
              </w:rPr>
            </w:pPr>
            <w:r w:rsidRPr="00CC7473">
              <w:rPr>
                <w:rFonts w:ascii="Calibri" w:hAnsi="Calibri" w:cstheme="majorHAnsi"/>
                <w:b/>
              </w:rPr>
              <w:t>Table S</w:t>
            </w:r>
            <w:r>
              <w:rPr>
                <w:rFonts w:ascii="Calibri" w:hAnsi="Calibri" w:cstheme="majorHAnsi"/>
                <w:b/>
              </w:rPr>
              <w:t>2</w:t>
            </w:r>
            <w:r w:rsidRPr="00CC7473">
              <w:rPr>
                <w:rFonts w:ascii="Calibri" w:hAnsi="Calibri" w:cstheme="majorHAnsi"/>
                <w:b/>
              </w:rPr>
              <w:t>. Strains and plasmids used in this study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b/>
                <w:bCs/>
              </w:rPr>
            </w:pPr>
            <w:r w:rsidRPr="006B1AA4">
              <w:rPr>
                <w:rFonts w:ascii="Calibri" w:hAnsi="Calibri" w:cstheme="majorHAnsi"/>
                <w:b/>
                <w:bCs/>
              </w:rPr>
              <w:t>Strain or plasmid</w:t>
            </w:r>
          </w:p>
        </w:tc>
        <w:tc>
          <w:tcPr>
            <w:tcW w:w="4029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b/>
                <w:bCs/>
              </w:rPr>
            </w:pPr>
            <w:r w:rsidRPr="006B1AA4">
              <w:rPr>
                <w:rFonts w:ascii="Calibri" w:hAnsi="Calibri" w:cstheme="majorHAnsi"/>
                <w:b/>
                <w:bCs/>
              </w:rPr>
              <w:t>Description</w:t>
            </w:r>
          </w:p>
        </w:tc>
        <w:tc>
          <w:tcPr>
            <w:tcW w:w="2590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b/>
                <w:bCs/>
              </w:rPr>
            </w:pPr>
            <w:r>
              <w:rPr>
                <w:rFonts w:ascii="Calibri" w:hAnsi="Calibri" w:cstheme="majorHAnsi"/>
                <w:b/>
                <w:bCs/>
              </w:rPr>
              <w:t>Reference</w:t>
            </w:r>
            <w:r w:rsidRPr="006B1AA4">
              <w:rPr>
                <w:rFonts w:ascii="Calibri" w:hAnsi="Calibri" w:cstheme="majorHAnsi"/>
                <w:b/>
                <w:bCs/>
              </w:rPr>
              <w:t xml:space="preserve"> or source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tcBorders>
              <w:top w:val="single" w:sz="8" w:space="0" w:color="auto"/>
            </w:tcBorders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i/>
                <w:iCs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E. coli</w:t>
            </w:r>
            <w:r w:rsidRPr="006B1AA4">
              <w:rPr>
                <w:rFonts w:ascii="Calibri" w:hAnsi="Calibri" w:cstheme="majorHAnsi"/>
              </w:rPr>
              <w:t xml:space="preserve"> DC10B</w:t>
            </w:r>
          </w:p>
        </w:tc>
        <w:tc>
          <w:tcPr>
            <w:tcW w:w="4029" w:type="dxa"/>
            <w:tcBorders>
              <w:top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Cloning strain</w:t>
            </w:r>
          </w:p>
        </w:tc>
        <w:tc>
          <w:tcPr>
            <w:tcW w:w="2590" w:type="dxa"/>
            <w:tcBorders>
              <w:top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>
                <w:fldData xml:space="preserve">PEVuZE5vdGU+PENpdGU+PEF1dGhvcj5Nb25rPC9BdXRob3I+PFllYXI+MjAxMjwvWWVhcj48UmVj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</w:fldData>
              </w:fldChar>
            </w:r>
            <w:r>
              <w:rPr>
                <w:rFonts w:ascii="Calibri" w:hAnsi="Calibri" w:cstheme="majorHAnsi"/>
              </w:rPr>
              <w:instrText xml:space="preserve"> ADDIN EN.CITE </w:instrText>
            </w:r>
            <w:r>
              <w:rPr>
                <w:rFonts w:ascii="Calibri" w:hAnsi="Calibri" w:cstheme="majorHAnsi"/>
              </w:rPr>
              <w:fldChar w:fldCharType="begin">
                <w:fldData xml:space="preserve">PEVuZE5vdGU+PENpdGU+PEF1dGhvcj5Nb25rPC9BdXRob3I+PFllYXI+MjAxMjwvWWVhcj48UmVj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</w:fldData>
              </w:fldChar>
            </w:r>
            <w:r>
              <w:rPr>
                <w:rFonts w:ascii="Calibri" w:hAnsi="Calibri" w:cstheme="majorHAnsi"/>
              </w:rPr>
              <w:instrText xml:space="preserve"> ADDIN EN.CITE.DATA </w:instrText>
            </w:r>
            <w:r>
              <w:rPr>
                <w:rFonts w:ascii="Calibri" w:hAnsi="Calibri" w:cstheme="majorHAnsi"/>
              </w:rPr>
            </w:r>
            <w:r>
              <w:rPr>
                <w:rFonts w:ascii="Calibri" w:hAnsi="Calibri" w:cstheme="majorHAnsi"/>
              </w:rPr>
              <w:fldChar w:fldCharType="end"/>
            </w:r>
            <w:r>
              <w:rPr>
                <w:rFonts w:ascii="Calibri" w:hAnsi="Calibri" w:cstheme="majorHAnsi"/>
              </w:rPr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(Monk et al., 2012)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E. coli</w:t>
            </w:r>
            <w:r w:rsidRPr="006B1AA4">
              <w:rPr>
                <w:rFonts w:ascii="Calibri" w:hAnsi="Calibri" w:cstheme="majorHAnsi"/>
              </w:rPr>
              <w:t xml:space="preserve"> DH5</w:t>
            </w:r>
            <w:r>
              <w:rPr>
                <w:rFonts w:ascii="Calibri" w:hAnsi="Calibri" w:cstheme="majorHAnsi"/>
              </w:rPr>
              <w:sym w:font="Symbol" w:char="F061"/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Cloning strain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&lt;EndNote&gt;&lt;Cite&gt;&lt;Author&gt;Hanahan&lt;/Author&gt;&lt;Year&gt;1983&lt;/Year&gt;&lt;RecNum&gt;67&lt;/RecNum&gt;&lt;DisplayText&gt;(Hanahan, 1983)&lt;/DisplayText&gt;&lt;record&gt;&lt;rec-number&gt;67&lt;/rec-number&gt;&lt;foreign-keys&gt;&lt;key app="EN" db-id="xfw92prwcdpwfuex222v0zs2sxaaesztvfrx" timestamp="1510262046"&gt;67&lt;/key&gt;&lt;/foreign-keys&gt;&lt;ref-type name="Journal Article"&gt;17&lt;/ref-type&gt;&lt;contributors&gt;&lt;authors&gt;&lt;author&gt;Hanahan, D.&lt;/author&gt;&lt;/authors&gt;&lt;/contributors&gt;&lt;titles&gt;&lt;title&gt;&lt;style face="normal" font="default" size="100%"&gt;Studies on transformation of &lt;/style&gt;&lt;style face="italic" font="default" size="100%"&gt;Escherichia coli&lt;/style&gt;&lt;style face="normal" font="default" size="100%"&gt; with plasmids&lt;/style&gt;&lt;/title&gt;&lt;secondary-title&gt;J Mol Biol&lt;/secondary-title&gt;&lt;/titles&gt;&lt;periodical&gt;&lt;full-title&gt;J Mol Biol&lt;/full-title&gt;&lt;/periodical&gt;&lt;pages&gt;557-80&lt;/pages&gt;&lt;volume&gt;166&lt;/volume&gt;&lt;number&gt;4&lt;/number&gt;&lt;keywords&gt;&lt;keyword&gt;Cations&lt;/keyword&gt;&lt;keyword&gt;DNA, Superhelical&lt;/keyword&gt;&lt;keyword&gt;Dimethyl Sulfoxide/pharmacology&lt;/keyword&gt;&lt;keyword&gt;Dithiothreitol/pharmacology&lt;/keyword&gt;&lt;keyword&gt;Escherichia coli/drug effects/*genetics/growth &amp;amp; development&lt;/keyword&gt;&lt;keyword&gt;*Plasmids/drug effects&lt;/keyword&gt;&lt;keyword&gt;Species Specificity&lt;/keyword&gt;&lt;keyword&gt;*Transformation, Bacterial/drug effects&lt;/keyword&gt;&lt;/keywords&gt;&lt;dates&gt;&lt;year&gt;1983&lt;/year&gt;&lt;pub-dates&gt;&lt;date&gt;Jun 05&lt;/date&gt;&lt;/pub-dates&gt;&lt;/dates&gt;&lt;isbn&gt;0022-2836 (Print)&amp;#xD;0022-2836 (Linking)&lt;/isbn&gt;&lt;accession-num&gt;6345791&lt;/accession-num&gt;&lt;urls&gt;&lt;related-urls&gt;&lt;url&gt;https://www.ncbi.nlm.nih.gov/pubmed/6345791&lt;/url&gt;&lt;/related-urls&gt;&lt;/urls&gt;&lt;/record&gt;&lt;/Cite&gt;&lt;/EndNote&gt;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(Hanahan, 1983)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 xml:space="preserve">S. aureus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 w:rsidRPr="006B1AA4">
              <w:rPr>
                <w:rFonts w:ascii="Calibri" w:hAnsi="Calibri" w:cstheme="majorHAnsi"/>
              </w:rPr>
              <w:t xml:space="preserve"> laboratory strain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lang w:val="de-DE"/>
              </w:rPr>
            </w:pPr>
            <w:r>
              <w:rPr>
                <w:rFonts w:ascii="Calibri" w:hAnsi="Calibri" w:cstheme="majorHAnsi"/>
                <w:lang w:val="de-DE"/>
              </w:rPr>
              <w:fldChar w:fldCharType="begin"/>
            </w:r>
            <w:r>
              <w:rPr>
                <w:rFonts w:ascii="Calibri" w:hAnsi="Calibri" w:cstheme="majorHAnsi"/>
                <w:lang w:val="de-DE"/>
              </w:rPr>
              <w:instrText xml:space="preserve"> ADDIN EN.CITE &lt;EndNote&gt;&lt;Cite&gt;&lt;Author&gt;Kreiswirth&lt;/Author&gt;&lt;Year&gt;1983&lt;/Year&gt;&lt;RecNum&gt;68&lt;/RecNum&gt;&lt;DisplayText&gt;(Kreiswirth et al., 1983)&lt;/DisplayText&gt;&lt;record&gt;&lt;rec-number&gt;68&lt;/rec-number&gt;&lt;foreign-keys&gt;&lt;key app="EN" db-id="xfw92prwcdpwfuex222v0zs2sxaaesztvfrx" timestamp="1510262319"&gt;68&lt;/key&gt;&lt;/foreign-keys&gt;&lt;ref-type name="Journal Article"&gt;17&lt;/ref-type&gt;&lt;contributors&gt;&lt;authors&gt;&lt;author&gt;Kreiswirth, B. N.&lt;/author&gt;&lt;author&gt;Lofdahl, S.&lt;/author&gt;&lt;author&gt;Betley, M. J.&lt;/author&gt;&lt;author&gt;O&amp;apos;Reilly, M.&lt;/author&gt;&lt;author&gt;Schlievert, P. M.&lt;/author&gt;&lt;author&gt;Bergdoll, M. S.&lt;/author&gt;&lt;author&gt;Novick, R. P.&lt;/author&gt;&lt;/authors&gt;&lt;/contributors&gt;&lt;titles&gt;&lt;title&gt;The toxic shock syndrome exotoxin structural gene is not detectably transmitted by a prophage&lt;/title&gt;&lt;secondary-title&gt;Nature&lt;/secondary-title&gt;&lt;/titles&gt;&lt;periodical&gt;&lt;full-title&gt;Nature&lt;/full-title&gt;&lt;/periodical&gt;&lt;pages&gt;709-12&lt;/pages&gt;&lt;volume&gt;305&lt;/volume&gt;&lt;number&gt;5936&lt;/number&gt;&lt;keywords&gt;&lt;keyword&gt;Animals&lt;/keyword&gt;&lt;keyword&gt;Exotoxins/*genetics&lt;/keyword&gt;&lt;keyword&gt;*Genes&lt;/keyword&gt;&lt;keyword&gt;Genotype&lt;/keyword&gt;&lt;keyword&gt;Humans&lt;/keyword&gt;&lt;keyword&gt;Immunodiffusion&lt;/keyword&gt;&lt;keyword&gt;Lysogeny&lt;/keyword&gt;&lt;keyword&gt;Shock, Septic/*microbiology&lt;/keyword&gt;&lt;keyword&gt;Staphylococcus Phages/genetics&lt;/keyword&gt;&lt;keyword&gt;Staphylococcus aureus/genetics&lt;/keyword&gt;&lt;/keywords&gt;&lt;dates&gt;&lt;year&gt;1983&lt;/year&gt;&lt;pub-dates&gt;&lt;date&gt;Oct 20-26&lt;/date&gt;&lt;/pub-dates&gt;&lt;/dates&gt;&lt;isbn&gt;0028-0836 (Print)&amp;#xD;0028-0836 (Linking)&lt;/isbn&gt;&lt;accession-num&gt;6226876&lt;/accession-num&gt;&lt;urls&gt;&lt;related-urls&gt;&lt;url&gt;https://www.ncbi.nlm.nih.gov/pubmed/6226876&lt;/url&gt;&lt;/related-urls&gt;&lt;/urls&gt;&lt;/record&gt;&lt;/Cite&gt;&lt;/EndNote&gt;</w:instrText>
            </w:r>
            <w:r>
              <w:rPr>
                <w:rFonts w:ascii="Calibri" w:hAnsi="Calibri" w:cstheme="majorHAnsi"/>
                <w:lang w:val="de-DE"/>
              </w:rPr>
              <w:fldChar w:fldCharType="separate"/>
            </w:r>
            <w:r>
              <w:rPr>
                <w:rFonts w:ascii="Calibri" w:hAnsi="Calibri" w:cstheme="majorHAnsi"/>
                <w:noProof/>
                <w:lang w:val="de-DE"/>
              </w:rPr>
              <w:t>(Kreiswirth et al., 1983)</w:t>
            </w:r>
            <w:r>
              <w:rPr>
                <w:rFonts w:ascii="Calibri" w:hAnsi="Calibri" w:cstheme="majorHAnsi"/>
                <w:lang w:val="de-DE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i/>
                <w:iCs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>
              <w:rPr>
                <w:rFonts w:ascii="Calibri" w:hAnsi="Calibri" w:cstheme="majorHAnsi"/>
                <w:iCs/>
              </w:rPr>
              <w:t>SEJ1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88432A">
              <w:rPr>
                <w:rFonts w:ascii="Calibri" w:hAnsi="Calibri" w:cstheme="majorHAnsi"/>
                <w:iCs/>
              </w:rPr>
              <w:t>∆</w:t>
            </w:r>
            <w:r w:rsidRPr="006B1AA4">
              <w:rPr>
                <w:rFonts w:ascii="Calibri" w:hAnsi="Calibri" w:cstheme="majorHAnsi"/>
                <w:i/>
                <w:iCs/>
              </w:rPr>
              <w:t>spa</w:t>
            </w:r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in 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&lt;EndNote&gt;&lt;Cite&gt;&lt;Author&gt;Gründling&lt;/Author&gt;&lt;Year&gt;2007&lt;/Year&gt;&lt;RecNum&gt;5265&lt;/RecNum&gt;&lt;DisplayText&gt;(Gründling and Schneewind, 2007)&lt;/DisplayText&gt;&lt;record&gt;&lt;rec-number&gt;5265&lt;/rec-number&gt;&lt;foreign-keys&gt;&lt;key app="EN" db-id="dsed2vsrkexa5eexxsl5p9rhsetzpt9sxfvw" timestamp="0"&gt;5265&lt;/key&gt;&lt;/foreign-keys&gt;&lt;ref-type name="Journal Article"&gt;17&lt;/ref-type&gt;&lt;contributors&gt;&lt;authors&gt;&lt;author&gt;Gründling, A.&lt;/author&gt;&lt;author&gt;Schneewind, O.&lt;/author&gt;&lt;/authors&gt;&lt;/contributors&gt;&lt;titles&gt;&lt;title&gt;&lt;style face="normal" font="default" size="100%"&gt;Synthesis of glycerol phosphate lipoteichoic acid in &lt;/style&gt;&lt;style face="italic" font="default" size="100%"&gt;Staphylococcus aureus&lt;/style&gt;&lt;/title&gt;&lt;secondary-title&gt;Proc. Nat. Acad. Sci. USA&lt;/secondary-title&gt;&lt;/titles&gt;&lt;pages&gt;8478-8483&lt;/pages&gt;&lt;volume&gt;104&lt;/volume&gt;&lt;dates&gt;&lt;year&gt;2007&lt;/year&gt;&lt;/dates&gt;&lt;urls&gt;&lt;/urls&gt;&lt;/record&gt;&lt;/Cite&gt;&lt;/EndNote&gt;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(Gründling and Schneewind, 2007)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B8626F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 w:rsidRPr="00B8626F">
              <w:rPr>
                <w:rFonts w:ascii="Calibri" w:hAnsi="Calibri" w:cstheme="majorHAnsi"/>
                <w:iCs/>
              </w:rPr>
              <w:t>WY1</w:t>
            </w:r>
            <w:r>
              <w:rPr>
                <w:rFonts w:ascii="Calibri" w:hAnsi="Calibri" w:cstheme="majorHAnsi"/>
                <w:iCs/>
              </w:rPr>
              <w:t>10</w:t>
            </w:r>
          </w:p>
        </w:tc>
        <w:tc>
          <w:tcPr>
            <w:tcW w:w="4029" w:type="dxa"/>
            <w:noWrap/>
            <w:hideMark/>
          </w:tcPr>
          <w:p w:rsidR="002A671C" w:rsidRPr="00B3648A" w:rsidRDefault="002A671C" w:rsidP="004C1E1A">
            <w:pPr>
              <w:spacing w:line="360" w:lineRule="auto"/>
              <w:rPr>
                <w:rFonts w:ascii="Calibri" w:hAnsi="Calibri" w:cstheme="majorHAnsi"/>
                <w:lang w:val="de-DE"/>
              </w:rPr>
            </w:pPr>
            <w:r w:rsidRPr="00B3648A">
              <w:rPr>
                <w:rFonts w:ascii="Calibri" w:hAnsi="Calibri" w:cstheme="majorHAnsi"/>
                <w:iCs/>
                <w:lang w:val="de-DE"/>
              </w:rPr>
              <w:t>∆</w:t>
            </w:r>
            <w:proofErr w:type="spellStart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>spa</w:t>
            </w:r>
            <w:proofErr w:type="spellEnd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 xml:space="preserve"> </w:t>
            </w:r>
            <w:r w:rsidRPr="00B3648A">
              <w:rPr>
                <w:rFonts w:ascii="Calibri" w:hAnsi="Calibri" w:cstheme="majorHAnsi"/>
                <w:iCs/>
                <w:lang w:val="de-DE"/>
              </w:rPr>
              <w:t>∆</w:t>
            </w:r>
            <w:proofErr w:type="spellStart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>sbi</w:t>
            </w:r>
            <w:proofErr w:type="spellEnd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 xml:space="preserve">, </w:t>
            </w:r>
            <w:proofErr w:type="spellStart"/>
            <w:proofErr w:type="gramStart"/>
            <w:r w:rsidRPr="00B3648A">
              <w:rPr>
                <w:rFonts w:ascii="Calibri" w:hAnsi="Calibri" w:cstheme="majorHAnsi"/>
                <w:i/>
                <w:lang w:val="de-DE"/>
              </w:rPr>
              <w:t>sbi</w:t>
            </w:r>
            <w:proofErr w:type="spellEnd"/>
            <w:r w:rsidRPr="00B3648A">
              <w:rPr>
                <w:rFonts w:ascii="Calibri" w:hAnsi="Calibri" w:cstheme="majorHAnsi"/>
                <w:lang w:val="de-DE"/>
              </w:rPr>
              <w:t>::</w:t>
            </w:r>
            <w:proofErr w:type="spellStart"/>
            <w:proofErr w:type="gramEnd"/>
            <w:r w:rsidRPr="00B3648A">
              <w:rPr>
                <w:rFonts w:ascii="Calibri" w:hAnsi="Calibri" w:cstheme="majorHAnsi"/>
                <w:i/>
                <w:lang w:val="de-DE"/>
              </w:rPr>
              <w:t>ermB</w:t>
            </w:r>
            <w:proofErr w:type="spellEnd"/>
            <w:r w:rsidRPr="00B3648A">
              <w:rPr>
                <w:rFonts w:ascii="Calibri" w:hAnsi="Calibri" w:cstheme="majorHAnsi"/>
                <w:lang w:val="de-DE"/>
              </w:rPr>
              <w:t xml:space="preserve"> in </w:t>
            </w:r>
            <w:r w:rsidRPr="00B3648A">
              <w:rPr>
                <w:rFonts w:ascii="Calibri" w:hAnsi="Calibri" w:cstheme="majorHAnsi"/>
                <w:i/>
                <w:lang w:val="de-DE"/>
              </w:rPr>
              <w:t xml:space="preserve">S. </w:t>
            </w:r>
            <w:proofErr w:type="spellStart"/>
            <w:r w:rsidRPr="00B3648A">
              <w:rPr>
                <w:rFonts w:ascii="Calibri" w:hAnsi="Calibri" w:cstheme="majorHAnsi"/>
                <w:i/>
                <w:lang w:val="de-DE"/>
              </w:rPr>
              <w:t>aureus</w:t>
            </w:r>
            <w:proofErr w:type="spellEnd"/>
            <w:r w:rsidRPr="00B3648A">
              <w:rPr>
                <w:rFonts w:ascii="Calibri" w:hAnsi="Calibri" w:cstheme="majorHAnsi"/>
                <w:lang w:val="de-DE"/>
              </w:rPr>
              <w:t xml:space="preserve"> SEJ1 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B8626F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>
              <w:rPr>
                <w:rFonts w:ascii="Calibri" w:hAnsi="Calibri" w:cstheme="majorHAnsi"/>
                <w:iCs/>
              </w:rPr>
              <w:t>WY223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88432A">
              <w:rPr>
                <w:rFonts w:ascii="Calibri" w:hAnsi="Calibri" w:cstheme="majorHAnsi"/>
                <w:iCs/>
              </w:rPr>
              <w:t>P</w:t>
            </w:r>
            <w:r w:rsidRPr="00AD3B84">
              <w:rPr>
                <w:rFonts w:ascii="Calibri" w:hAnsi="Calibri" w:cstheme="majorHAnsi"/>
                <w:i/>
                <w:iCs/>
                <w:vertAlign w:val="subscript"/>
              </w:rPr>
              <w:t>spac</w:t>
            </w:r>
            <w:r w:rsidRPr="006B1AA4">
              <w:rPr>
                <w:rFonts w:ascii="Calibri" w:hAnsi="Calibri" w:cstheme="majorHAnsi"/>
                <w:i/>
                <w:iCs/>
              </w:rPr>
              <w:t>-secA</w:t>
            </w:r>
            <w:proofErr w:type="spellEnd"/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 xml:space="preserve">in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/>
                <w:iCs/>
              </w:rPr>
              <w:t xml:space="preserve"> </w:t>
            </w:r>
            <w:r>
              <w:rPr>
                <w:rFonts w:ascii="Calibri" w:hAnsi="Calibri" w:cstheme="majorHAnsi"/>
              </w:rPr>
              <w:t>WY230</w:t>
            </w:r>
          </w:p>
        </w:tc>
        <w:tc>
          <w:tcPr>
            <w:tcW w:w="4029" w:type="dxa"/>
            <w:noWrap/>
            <w:hideMark/>
          </w:tcPr>
          <w:p w:rsidR="002A671C" w:rsidRPr="00B3648A" w:rsidRDefault="002A671C" w:rsidP="004C1E1A">
            <w:pPr>
              <w:spacing w:line="360" w:lineRule="auto"/>
              <w:rPr>
                <w:rFonts w:ascii="Calibri" w:hAnsi="Calibri" w:cstheme="majorHAnsi"/>
                <w:lang w:val="de-DE"/>
              </w:rPr>
            </w:pPr>
            <w:proofErr w:type="spellStart"/>
            <w:r w:rsidRPr="00B3648A">
              <w:rPr>
                <w:rFonts w:ascii="Calibri" w:hAnsi="Calibri" w:cstheme="majorHAnsi"/>
                <w:lang w:val="de-DE"/>
              </w:rPr>
              <w:t>P</w:t>
            </w:r>
            <w:r w:rsidRPr="00B3648A">
              <w:rPr>
                <w:rFonts w:ascii="Calibri" w:hAnsi="Calibri" w:cstheme="majorHAnsi"/>
                <w:i/>
                <w:iCs/>
                <w:vertAlign w:val="subscript"/>
                <w:lang w:val="de-DE"/>
              </w:rPr>
              <w:t>tet</w:t>
            </w:r>
            <w:r w:rsidRPr="00B3648A">
              <w:rPr>
                <w:rFonts w:ascii="Calibri" w:hAnsi="Calibri" w:cstheme="majorHAnsi"/>
                <w:i/>
                <w:iCs/>
                <w:lang w:val="de-DE"/>
              </w:rPr>
              <w:t>-</w:t>
            </w:r>
            <w:proofErr w:type="gramStart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>secA:sfGFP</w:t>
            </w:r>
            <w:proofErr w:type="spellEnd"/>
            <w:proofErr w:type="gramEnd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 xml:space="preserve"> </w:t>
            </w:r>
            <w:r w:rsidRPr="00B3648A">
              <w:rPr>
                <w:rFonts w:ascii="Calibri" w:hAnsi="Calibri" w:cstheme="majorHAnsi"/>
                <w:iCs/>
                <w:lang w:val="de-DE"/>
              </w:rPr>
              <w:t xml:space="preserve">in </w:t>
            </w:r>
            <w:r w:rsidRPr="00B3648A">
              <w:rPr>
                <w:rFonts w:ascii="Calibri" w:hAnsi="Calibri" w:cstheme="majorHAnsi"/>
                <w:i/>
                <w:iCs/>
                <w:lang w:val="de-DE"/>
              </w:rPr>
              <w:t xml:space="preserve">S. </w:t>
            </w:r>
            <w:proofErr w:type="spellStart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>aureus</w:t>
            </w:r>
            <w:proofErr w:type="spellEnd"/>
            <w:r w:rsidRPr="00B3648A">
              <w:rPr>
                <w:rFonts w:ascii="Calibri" w:hAnsi="Calibri" w:cstheme="majorHAnsi"/>
                <w:i/>
                <w:iCs/>
                <w:lang w:val="de-DE"/>
              </w:rPr>
              <w:t xml:space="preserve"> </w:t>
            </w:r>
            <w:r w:rsidRPr="00B3648A">
              <w:rPr>
                <w:rFonts w:ascii="Calibri" w:hAnsi="Calibri" w:cstheme="majorHAnsi"/>
                <w:iCs/>
                <w:lang w:val="de-DE"/>
              </w:rPr>
              <w:t>WY223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B8626F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88432A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Cs/>
              </w:rPr>
              <w:t xml:space="preserve"> </w:t>
            </w:r>
            <w:r w:rsidRPr="00B8626F">
              <w:rPr>
                <w:rFonts w:ascii="Calibri" w:hAnsi="Calibri" w:cstheme="majorHAnsi"/>
                <w:iCs/>
              </w:rPr>
              <w:t>ANG499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88432A">
              <w:rPr>
                <w:rFonts w:ascii="Calibri" w:hAnsi="Calibri" w:cstheme="majorHAnsi"/>
                <w:iCs/>
              </w:rPr>
              <w:t>P</w:t>
            </w:r>
            <w:r w:rsidRPr="00AD3B84">
              <w:rPr>
                <w:rFonts w:ascii="Calibri" w:hAnsi="Calibri" w:cstheme="majorHAnsi"/>
                <w:i/>
                <w:iCs/>
                <w:vertAlign w:val="subscript"/>
              </w:rPr>
              <w:t>spac</w:t>
            </w:r>
            <w:r w:rsidRPr="006B1AA4">
              <w:rPr>
                <w:rFonts w:ascii="Calibri" w:hAnsi="Calibri" w:cstheme="majorHAnsi"/>
                <w:i/>
                <w:iCs/>
              </w:rPr>
              <w:t>-ltaS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in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&lt;EndNote&gt;&lt;Cite&gt;&lt;Author&gt;Gründling&lt;/Author&gt;&lt;Year&gt;2007&lt;/Year&gt;&lt;RecNum&gt;5265&lt;/RecNum&gt;&lt;DisplayText&gt;(Gründling and Schneewind, 2007)&lt;/DisplayText&gt;&lt;record&gt;&lt;rec-number&gt;5265&lt;/rec-number&gt;&lt;foreign-keys&gt;&lt;key app="EN" db-id="dsed2vsrkexa5eexxsl5p9rhsetzpt9sxfvw" timestamp="0"&gt;5265&lt;/key&gt;&lt;/foreign-keys&gt;&lt;ref-type name="Journal Article"&gt;17&lt;/ref-type&gt;&lt;contributors&gt;&lt;authors&gt;&lt;author&gt;Gründling, A.&lt;/author&gt;&lt;author&gt;Schneewind, O.&lt;/author&gt;&lt;/authors&gt;&lt;/contributors&gt;&lt;titles&gt;&lt;title&gt;&lt;style face="normal" font="default" size="100%"&gt;Synthesis of glycerol phosphate lipoteichoic acid in &lt;/style&gt;&lt;style face="italic" font="default" size="100%"&gt;Staphylococcus aureus&lt;/style&gt;&lt;/title&gt;&lt;secondary-title&gt;Proc. Nat. Acad. Sci. USA&lt;/secondary-title&gt;&lt;/titles&gt;&lt;pages&gt;8478-8483&lt;/pages&gt;&lt;volume&gt;104&lt;/volume&gt;&lt;dates&gt;&lt;year&gt;2007&lt;/year&gt;&lt;/dates&gt;&lt;urls&gt;&lt;/urls&gt;&lt;/record&gt;&lt;/Cite&gt;&lt;/EndNote&gt;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(Gründling and Schneewind, 2007)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FC4346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88432A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Cs/>
              </w:rPr>
              <w:t xml:space="preserve"> </w:t>
            </w:r>
            <w:r w:rsidRPr="00FC4346">
              <w:rPr>
                <w:rFonts w:ascii="Calibri" w:hAnsi="Calibri" w:cstheme="majorHAnsi"/>
                <w:iCs/>
              </w:rPr>
              <w:t>WY418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88432A">
              <w:rPr>
                <w:rFonts w:ascii="Calibri" w:hAnsi="Calibri" w:cstheme="majorHAnsi"/>
                <w:iCs/>
              </w:rPr>
              <w:t>∆</w:t>
            </w:r>
            <w:proofErr w:type="spellStart"/>
            <w:r>
              <w:rPr>
                <w:rFonts w:ascii="Calibri" w:hAnsi="Calibri" w:cstheme="majorHAnsi"/>
                <w:i/>
                <w:iCs/>
              </w:rPr>
              <w:t>secDF</w:t>
            </w:r>
            <w:proofErr w:type="spellEnd"/>
            <w:r w:rsidRPr="0088432A">
              <w:rPr>
                <w:rFonts w:ascii="Calibri" w:hAnsi="Calibri" w:cstheme="majorHAnsi"/>
                <w:iCs/>
              </w:rPr>
              <w:t xml:space="preserve"> i</w:t>
            </w:r>
            <w:r w:rsidRPr="0088432A">
              <w:rPr>
                <w:rFonts w:ascii="Calibri" w:hAnsi="Calibri" w:cstheme="majorHAnsi"/>
              </w:rPr>
              <w:t>n</w:t>
            </w:r>
            <w:r w:rsidRPr="006B1AA4">
              <w:rPr>
                <w:rFonts w:ascii="Calibri" w:hAnsi="Calibri" w:cstheme="majorHAnsi"/>
              </w:rPr>
              <w:t xml:space="preserve">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FC4346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AD3B8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Cs/>
              </w:rPr>
              <w:t xml:space="preserve"> </w:t>
            </w:r>
            <w:r w:rsidRPr="00FC4346">
              <w:rPr>
                <w:rFonts w:ascii="Calibri" w:hAnsi="Calibri" w:cstheme="majorHAnsi"/>
                <w:iCs/>
              </w:rPr>
              <w:t>WY416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88432A">
              <w:rPr>
                <w:rFonts w:ascii="Calibri" w:hAnsi="Calibri" w:cstheme="majorHAnsi"/>
                <w:iCs/>
              </w:rPr>
              <w:t>∆</w:t>
            </w:r>
            <w:r>
              <w:rPr>
                <w:rFonts w:ascii="Calibri" w:hAnsi="Calibri" w:cstheme="majorHAnsi"/>
                <w:i/>
                <w:iCs/>
              </w:rPr>
              <w:t>rnd</w:t>
            </w:r>
            <w:r w:rsidRPr="006B1AA4">
              <w:rPr>
                <w:rFonts w:ascii="Calibri" w:hAnsi="Calibri" w:cstheme="majorHAnsi"/>
                <w:i/>
                <w:iCs/>
              </w:rPr>
              <w:t>2</w:t>
            </w:r>
            <w:r w:rsidRPr="0088432A">
              <w:rPr>
                <w:rFonts w:ascii="Calibri" w:hAnsi="Calibri" w:cstheme="majorHAnsi"/>
                <w:iCs/>
              </w:rPr>
              <w:t xml:space="preserve"> i</w:t>
            </w:r>
            <w:r w:rsidRPr="0088432A">
              <w:rPr>
                <w:rFonts w:ascii="Calibri" w:hAnsi="Calibri" w:cstheme="majorHAnsi"/>
              </w:rPr>
              <w:t>n</w:t>
            </w:r>
            <w:r w:rsidRPr="006B1AA4">
              <w:rPr>
                <w:rFonts w:ascii="Calibri" w:hAnsi="Calibri" w:cstheme="majorHAnsi"/>
              </w:rPr>
              <w:t xml:space="preserve">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FC4346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AD3B8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Cs/>
              </w:rPr>
              <w:t xml:space="preserve"> </w:t>
            </w:r>
            <w:r w:rsidRPr="00FC4346">
              <w:rPr>
                <w:rFonts w:ascii="Calibri" w:hAnsi="Calibri" w:cstheme="majorHAnsi"/>
                <w:iCs/>
              </w:rPr>
              <w:t>WY400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88432A">
              <w:rPr>
                <w:rFonts w:ascii="Calibri" w:hAnsi="Calibri" w:cstheme="majorHAnsi"/>
                <w:iCs/>
              </w:rPr>
              <w:t>∆</w:t>
            </w:r>
            <w:r>
              <w:rPr>
                <w:rFonts w:ascii="Calibri" w:hAnsi="Calibri" w:cstheme="majorHAnsi"/>
                <w:i/>
                <w:iCs/>
              </w:rPr>
              <w:t>rnd3</w:t>
            </w:r>
            <w:r w:rsidRPr="0088432A">
              <w:rPr>
                <w:rFonts w:ascii="Calibri" w:hAnsi="Calibri" w:cstheme="majorHAnsi"/>
                <w:iCs/>
              </w:rPr>
              <w:t xml:space="preserve"> i</w:t>
            </w:r>
            <w:r w:rsidRPr="0088432A">
              <w:rPr>
                <w:rFonts w:ascii="Calibri" w:hAnsi="Calibri" w:cstheme="majorHAnsi"/>
              </w:rPr>
              <w:t>n</w:t>
            </w:r>
            <w:r w:rsidRPr="006B1AA4">
              <w:rPr>
                <w:rFonts w:ascii="Calibri" w:hAnsi="Calibri" w:cstheme="majorHAnsi"/>
              </w:rPr>
              <w:t xml:space="preserve">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FC4346" w:rsidRDefault="002A671C" w:rsidP="004C1E1A">
            <w:pPr>
              <w:spacing w:line="360" w:lineRule="auto"/>
              <w:rPr>
                <w:rFonts w:ascii="Calibri" w:hAnsi="Calibri" w:cstheme="majorHAnsi"/>
                <w:iCs/>
              </w:rPr>
            </w:pPr>
            <w:r w:rsidRPr="00AD3B84">
              <w:rPr>
                <w:rFonts w:ascii="Calibri" w:hAnsi="Calibri" w:cstheme="majorHAnsi"/>
                <w:i/>
                <w:iCs/>
              </w:rPr>
              <w:t>S. aureus</w:t>
            </w:r>
            <w:r>
              <w:rPr>
                <w:rFonts w:ascii="Calibri" w:hAnsi="Calibri" w:cstheme="majorHAnsi"/>
                <w:iCs/>
              </w:rPr>
              <w:t xml:space="preserve"> </w:t>
            </w:r>
            <w:r w:rsidRPr="00FC4346">
              <w:rPr>
                <w:rFonts w:ascii="Calibri" w:hAnsi="Calibri" w:cstheme="majorHAnsi"/>
                <w:iCs/>
              </w:rPr>
              <w:t>WY412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88432A">
              <w:rPr>
                <w:rFonts w:ascii="Calibri" w:hAnsi="Calibri" w:cstheme="majorHAnsi"/>
                <w:iCs/>
              </w:rPr>
              <w:t>∆</w:t>
            </w:r>
            <w:proofErr w:type="spellStart"/>
            <w:r>
              <w:rPr>
                <w:rFonts w:ascii="Calibri" w:hAnsi="Calibri" w:cstheme="majorHAnsi"/>
                <w:i/>
                <w:iCs/>
              </w:rPr>
              <w:t>secDF</w:t>
            </w:r>
            <w:proofErr w:type="spellEnd"/>
            <w:r w:rsidRPr="0088432A">
              <w:rPr>
                <w:rFonts w:ascii="Calibri" w:hAnsi="Calibri" w:cstheme="majorHAnsi"/>
                <w:iCs/>
              </w:rPr>
              <w:t xml:space="preserve"> ∆</w:t>
            </w:r>
            <w:r>
              <w:rPr>
                <w:rFonts w:ascii="Calibri" w:hAnsi="Calibri" w:cstheme="majorHAnsi"/>
                <w:i/>
                <w:iCs/>
              </w:rPr>
              <w:t>rnd2</w:t>
            </w:r>
            <w:r w:rsidRPr="0088432A">
              <w:rPr>
                <w:rFonts w:ascii="Calibri" w:hAnsi="Calibri" w:cstheme="majorHAnsi"/>
                <w:iCs/>
              </w:rPr>
              <w:t>∆</w:t>
            </w:r>
            <w:r>
              <w:rPr>
                <w:rFonts w:ascii="Calibri" w:hAnsi="Calibri" w:cstheme="majorHAnsi"/>
                <w:i/>
                <w:iCs/>
              </w:rPr>
              <w:t>rnd3</w:t>
            </w:r>
            <w:r w:rsidRPr="0088432A">
              <w:rPr>
                <w:rFonts w:ascii="Calibri" w:hAnsi="Calibri" w:cstheme="majorHAnsi"/>
                <w:iCs/>
              </w:rPr>
              <w:t xml:space="preserve"> i</w:t>
            </w:r>
            <w:r w:rsidRPr="0088432A">
              <w:rPr>
                <w:rFonts w:ascii="Calibri" w:hAnsi="Calibri" w:cstheme="majorHAnsi"/>
              </w:rPr>
              <w:t>n</w:t>
            </w:r>
            <w:r w:rsidRPr="006B1AA4">
              <w:rPr>
                <w:rFonts w:ascii="Calibri" w:hAnsi="Calibri" w:cstheme="majorHAnsi"/>
              </w:rPr>
              <w:t xml:space="preserve"> </w:t>
            </w:r>
            <w:r w:rsidRPr="0088432A">
              <w:rPr>
                <w:rFonts w:ascii="Calibri" w:hAnsi="Calibri" w:cstheme="majorHAnsi"/>
                <w:i/>
              </w:rPr>
              <w:t>S. aureus</w:t>
            </w:r>
            <w:r>
              <w:rPr>
                <w:rFonts w:ascii="Calibri" w:hAnsi="Calibri" w:cstheme="majorHAnsi"/>
              </w:rPr>
              <w:t xml:space="preserve"> </w:t>
            </w:r>
            <w:r w:rsidRPr="006B1AA4">
              <w:rPr>
                <w:rFonts w:ascii="Calibri" w:hAnsi="Calibri" w:cstheme="majorHAnsi"/>
              </w:rPr>
              <w:t>RN4220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pOS1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E. coli/S. aureus</w:t>
            </w:r>
            <w:r w:rsidRPr="006B1AA4">
              <w:rPr>
                <w:rFonts w:ascii="Calibri" w:hAnsi="Calibri" w:cstheme="majorHAnsi"/>
              </w:rPr>
              <w:t xml:space="preserve"> shuttle vector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&lt;EndNote&gt;&lt;Cite&gt;&lt;Author&gt;Schneewind&lt;/Author&gt;&lt;Year&gt;1993&lt;/Year&gt;&lt;RecNum&gt;66&lt;/RecNum&gt;&lt;DisplayText&gt;(Schneewind et al., 1993)&lt;/DisplayText&gt;&lt;record&gt;&lt;rec-number&gt;66&lt;/rec-number&gt;&lt;foreign-keys&gt;&lt;key app="EN" db-id="xfw92prwcdpwfuex222v0zs2sxaaesztvfrx" timestamp="1510252548"&gt;66&lt;/key&gt;&lt;/foreign-keys&gt;&lt;ref-type name="Journal Article"&gt;17&lt;/ref-type&gt;&lt;contributors&gt;&lt;authors&gt;&lt;author&gt;Schneewind, O.&lt;/author&gt;&lt;author&gt;Mihaylova-Petkov, D.&lt;/author&gt;&lt;author&gt;Model, P.&lt;/author&gt;&lt;/authors&gt;&lt;/contributors&gt;&lt;auth-address&gt;Department of Microbiology and Immunology, UCLA School of Medicine 90024.&lt;/auth-address&gt;&lt;titles&gt;&lt;title&gt;Cell wall sorting signals in surface proteins of gram-positive bacteria&lt;/title&gt;&lt;secondary-title&gt;EMBO J&lt;/secondary-title&gt;&lt;/titles&gt;&lt;periodical&gt;&lt;full-title&gt;EMBO J&lt;/full-title&gt;&lt;/periodical&gt;&lt;pages&gt;4803-11&lt;/pages&gt;&lt;volume&gt;12&lt;/volume&gt;&lt;number&gt;12&lt;/number&gt;&lt;keywords&gt;&lt;keyword&gt;Amino Acid Sequence&lt;/keyword&gt;&lt;keyword&gt;Base Sequence&lt;/keyword&gt;&lt;keyword&gt;Biological Evolution&lt;/keyword&gt;&lt;keyword&gt;Cell Wall/*metabolism&lt;/keyword&gt;&lt;keyword&gt;Conserved Sequence&lt;/keyword&gt;&lt;keyword&gt;DNA, Bacterial&lt;/keyword&gt;&lt;keyword&gt;Enterotoxins/metabolism&lt;/keyword&gt;&lt;keyword&gt;Gram-Positive Bacteria/*metabolism&lt;/keyword&gt;&lt;keyword&gt;Molecular Sequence Data&lt;/keyword&gt;&lt;keyword&gt;*Signal Transduction&lt;/keyword&gt;&lt;keyword&gt;Staphylococcal Protein A/*metabolism&lt;/keyword&gt;&lt;/keywords&gt;&lt;dates&gt;&lt;year&gt;1993&lt;/year&gt;&lt;pub-dates&gt;&lt;date&gt;Dec&lt;/date&gt;&lt;/pub-dates&gt;&lt;/dates&gt;&lt;isbn&gt;0261-4189 (Print)&amp;#xD;0261-4189 (Linking)&lt;/isbn&gt;&lt;accession-num&gt;8223489&lt;/accession-num&gt;&lt;urls&gt;&lt;related-urls&gt;&lt;url&gt;https://www.ncbi.nlm.nih.gov/pubmed/8223489&lt;/url&gt;&lt;/related-urls&gt;&lt;/urls&gt;&lt;custom2&gt;PMC413927&lt;/custom2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(Schneewind et al., 1993)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  <w:lang w:val="de-DE"/>
              </w:rPr>
            </w:pP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F05EEE">
              <w:rPr>
                <w:rFonts w:ascii="Calibri" w:hAnsi="Calibri" w:cstheme="majorHAnsi"/>
                <w:i/>
              </w:rPr>
              <w:t>spa</w:t>
            </w:r>
            <w:r w:rsidRPr="006B1AA4">
              <w:rPr>
                <w:rFonts w:ascii="Calibri" w:hAnsi="Calibri" w:cstheme="majorHAnsi"/>
              </w:rPr>
              <w:t xml:space="preserve"> </w:t>
            </w:r>
            <w:r>
              <w:rPr>
                <w:rFonts w:ascii="Calibri" w:hAnsi="Calibri" w:cstheme="majorHAnsi"/>
              </w:rPr>
              <w:t xml:space="preserve">promoter, </w:t>
            </w:r>
            <w:r w:rsidRPr="006B1AA4">
              <w:rPr>
                <w:rFonts w:ascii="Calibri" w:hAnsi="Calibri" w:cstheme="majorHAnsi"/>
              </w:rPr>
              <w:t xml:space="preserve">signal peptide and </w:t>
            </w:r>
            <w:proofErr w:type="spellStart"/>
            <w:r>
              <w:rPr>
                <w:rFonts w:ascii="Calibri" w:hAnsi="Calibri" w:cstheme="majorHAnsi"/>
              </w:rPr>
              <w:t>IgBDs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E and D</w:t>
            </w:r>
            <w:r>
              <w:rPr>
                <w:rFonts w:ascii="Calibri" w:hAnsi="Calibri" w:cstheme="majorHAnsi"/>
              </w:rPr>
              <w:t xml:space="preserve"> in pOS1</w:t>
            </w:r>
            <w:r w:rsidRPr="006B1AA4">
              <w:rPr>
                <w:rFonts w:ascii="Calibri" w:hAnsi="Calibri" w:cstheme="majorHAnsi"/>
              </w:rPr>
              <w:t xml:space="preserve"> 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  <w:r>
              <w:rPr>
                <w:rFonts w:ascii="Calibri" w:hAnsi="Calibri" w:cstheme="majorHAnsi"/>
                <w:vertAlign w:val="subscript"/>
                <w:lang w:val="de-DE"/>
              </w:rPr>
              <w:t>/R10A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R10A variant of </w:t>
            </w: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  <w:r>
              <w:rPr>
                <w:rFonts w:ascii="Calibri" w:hAnsi="Calibri" w:cstheme="majorHAnsi"/>
                <w:vertAlign w:val="subscript"/>
                <w:lang w:val="de-DE"/>
              </w:rPr>
              <w:t>/S18L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S18L variant of </w:t>
            </w:r>
            <w:proofErr w:type="spellStart"/>
            <w:r w:rsidRPr="006B1AA4">
              <w:rPr>
                <w:rFonts w:ascii="Calibri" w:hAnsi="Calibri" w:cstheme="majorHAnsi"/>
              </w:rPr>
              <w:t>of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</w:t>
            </w:r>
            <w:proofErr w:type="spellStart"/>
            <w:r w:rsidRPr="00B3648A">
              <w:rPr>
                <w:rFonts w:ascii="Calibri" w:hAnsi="Calibri" w:cstheme="majorHAnsi"/>
              </w:rPr>
              <w:t>pSpA</w:t>
            </w:r>
            <w:r w:rsidRPr="00B3648A">
              <w:rPr>
                <w:rFonts w:ascii="Calibri" w:hAnsi="Calibri" w:cstheme="majorHAnsi"/>
                <w:vertAlign w:val="subscript"/>
              </w:rPr>
              <w:t>ED</w:t>
            </w:r>
            <w:proofErr w:type="spellEnd"/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  <w:r>
              <w:rPr>
                <w:rFonts w:ascii="Calibri" w:hAnsi="Calibri" w:cstheme="majorHAnsi"/>
                <w:vertAlign w:val="subscript"/>
                <w:lang w:val="de-DE"/>
              </w:rPr>
              <w:t>/</w:t>
            </w:r>
            <w:r>
              <w:rPr>
                <w:rFonts w:ascii="Calibri" w:hAnsi="Calibri" w:cstheme="majorHAnsi"/>
                <w:vertAlign w:val="subscript"/>
                <w:lang w:val="de-DE"/>
              </w:rPr>
              <w:sym w:font="Symbol" w:char="F044"/>
            </w:r>
            <w:r>
              <w:rPr>
                <w:rFonts w:ascii="Calibri" w:hAnsi="Calibri" w:cstheme="majorHAnsi"/>
                <w:vertAlign w:val="subscript"/>
                <w:lang w:val="de-DE"/>
              </w:rPr>
              <w:t>IA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∆IA variant of </w:t>
            </w:r>
            <w:proofErr w:type="spellStart"/>
            <w:r>
              <w:rPr>
                <w:rFonts w:ascii="Calibri" w:hAnsi="Calibri" w:cstheme="majorHAnsi"/>
                <w:lang w:val="de-DE"/>
              </w:rPr>
              <w:t>pSpA</w:t>
            </w:r>
            <w:r w:rsidRPr="00D02F70">
              <w:rPr>
                <w:rFonts w:ascii="Calibri" w:hAnsi="Calibri" w:cstheme="majorHAnsi"/>
                <w:vertAlign w:val="subscript"/>
                <w:lang w:val="de-DE"/>
              </w:rPr>
              <w:t>ED</w:t>
            </w:r>
            <w:proofErr w:type="spellEnd"/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pCL55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  <w:i/>
                <w:iCs/>
              </w:rPr>
              <w:t>S. aureus</w:t>
            </w:r>
            <w:r w:rsidRPr="006B1AA4">
              <w:rPr>
                <w:rFonts w:ascii="Calibri" w:hAnsi="Calibri" w:cstheme="majorHAnsi"/>
              </w:rPr>
              <w:t xml:space="preserve"> integration vector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&lt;EndNote&gt;&lt;Cite&gt;&lt;Author&gt;Lee&lt;/Author&gt;&lt;Year&gt;1991&lt;/Year&gt;&lt;RecNum&gt;47&lt;/RecNum&gt;&lt;DisplayText&gt;(Lee et al., 1991)&lt;/DisplayText&gt;&lt;record&gt;&lt;rec-number&gt;47&lt;/rec-number&gt;&lt;foreign-keys&gt;&lt;key app="EN" db-id="xfw92prwcdpwfuex222v0zs2sxaaesztvfrx" timestamp="1503032665"&gt;47&lt;/key&gt;&lt;/foreign-keys&gt;&lt;ref-type name="Journal Article"&gt;17&lt;/ref-type&gt;&lt;contributors&gt;&lt;authors&gt;&lt;author&gt;Lee, C. Y.&lt;/author&gt;&lt;author&gt;Buranen, S. L.&lt;/author&gt;&lt;author&gt;Ye, Z. H.&lt;/author&gt;&lt;/authors&gt;&lt;/contributors&gt;&lt;auth-address&gt;Department of Microbiology, University of Kansas Medical Center, Kansas City 66103.&lt;/auth-address&gt;&lt;titles&gt;&lt;title&gt;&lt;style face="normal" font="default" size="100%"&gt;Construction of single-copy integration vectors for &lt;/style&gt;&lt;style face="italic" font="default" size="100%"&gt;Staphylococcus aureus&lt;/style&gt;&lt;/title&gt;&lt;secondary-title&gt;Gene&lt;/secondary-title&gt;&lt;/titles&gt;&lt;periodical&gt;&lt;full-title&gt;Gene&lt;/full-title&gt;&lt;/periodical&gt;&lt;pages&gt;101-5&lt;/pages&gt;&lt;volume&gt;103&lt;/volume&gt;&lt;number&gt;1&lt;/number&gt;&lt;keywords&gt;&lt;keyword&gt;Bacteriophages/genetics&lt;/keyword&gt;&lt;keyword&gt;Blotting, Southern&lt;/keyword&gt;&lt;keyword&gt;*Cloning, Molecular&lt;/keyword&gt;&lt;keyword&gt;DNA Transposable Elements/*genetics&lt;/keyword&gt;&lt;keyword&gt;Escherichia coli/metabolism&lt;/keyword&gt;&lt;keyword&gt;Genetic Vectors/*genetics&lt;/keyword&gt;&lt;keyword&gt;Mutagenesis, Insertional/genetics&lt;/keyword&gt;&lt;keyword&gt;Nucleic Acid Hybridization&lt;/keyword&gt;&lt;keyword&gt;Plasmids/*genetics&lt;/keyword&gt;&lt;keyword&gt;Recombination, Genetic/genetics&lt;/keyword&gt;&lt;keyword&gt;Staphylococcus aureus/*genetics&lt;/keyword&gt;&lt;/keywords&gt;&lt;dates&gt;&lt;year&gt;1991&lt;/year&gt;&lt;pub-dates&gt;&lt;date&gt;Jul 15&lt;/date&gt;&lt;/pub-dates&gt;&lt;/dates&gt;&lt;isbn&gt;0378-1119 (Print)&amp;#xD;0378-1119 (Linking)&lt;/isbn&gt;&lt;accession-num&gt;1652539&lt;/accession-num&gt;&lt;urls&gt;&lt;related-urls&gt;&lt;url&gt;https://www.ncbi.nlm.nih.gov/pubmed/1652539&lt;/url&gt;&lt;/related-urls&gt;&lt;/urls&gt;&lt;/record&gt;&lt;/Cite&gt;&lt;/EndNote&gt;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(Lee et al., 1991)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pCL55-SpA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Full length </w:t>
            </w:r>
            <w:r w:rsidRPr="00D02F70">
              <w:rPr>
                <w:rFonts w:ascii="Calibri" w:hAnsi="Calibri" w:cstheme="majorHAnsi"/>
                <w:i/>
              </w:rPr>
              <w:t>spa</w:t>
            </w:r>
            <w:r w:rsidRPr="006B1AA4">
              <w:rPr>
                <w:rFonts w:ascii="Calibri" w:hAnsi="Calibri" w:cstheme="majorHAnsi"/>
              </w:rPr>
              <w:t xml:space="preserve"> with its native promoter cloned in pCL55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pCL55-</w:t>
            </w:r>
            <w:r w:rsidRPr="006B1AA4">
              <w:rPr>
                <w:rFonts w:ascii="Calibri" w:hAnsi="Calibri" w:cstheme="majorHAnsi"/>
              </w:rPr>
              <w:t>SpA</w:t>
            </w:r>
            <w:r>
              <w:rPr>
                <w:rFonts w:ascii="Calibri" w:hAnsi="Calibri" w:cstheme="majorHAnsi"/>
                <w:vertAlign w:val="subscript"/>
                <w:lang w:val="de-DE"/>
              </w:rPr>
              <w:t>R10A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R10A variant of pCL55-SpA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pCL55-</w:t>
            </w:r>
            <w:r w:rsidRPr="006B1AA4">
              <w:rPr>
                <w:rFonts w:ascii="Calibri" w:hAnsi="Calibri" w:cstheme="majorHAnsi"/>
              </w:rPr>
              <w:t>SpA</w:t>
            </w:r>
            <w:r>
              <w:rPr>
                <w:rFonts w:ascii="Calibri" w:hAnsi="Calibri" w:cstheme="majorHAnsi"/>
                <w:vertAlign w:val="subscript"/>
                <w:lang w:val="de-DE"/>
              </w:rPr>
              <w:t>S18L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S18L variant of pCL55-SpA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pCL55-</w:t>
            </w:r>
            <w:r w:rsidRPr="006B1AA4">
              <w:rPr>
                <w:rFonts w:ascii="Calibri" w:hAnsi="Calibri" w:cstheme="majorHAnsi"/>
              </w:rPr>
              <w:t>SpA</w:t>
            </w:r>
            <w:r>
              <w:rPr>
                <w:rFonts w:ascii="Calibri" w:hAnsi="Calibri" w:cstheme="majorHAnsi"/>
                <w:vertAlign w:val="subscript"/>
                <w:lang w:val="de-DE"/>
              </w:rPr>
              <w:sym w:font="Symbol" w:char="F044"/>
            </w:r>
            <w:r>
              <w:rPr>
                <w:rFonts w:ascii="Calibri" w:hAnsi="Calibri" w:cstheme="majorHAnsi"/>
                <w:vertAlign w:val="subscript"/>
                <w:lang w:val="de-DE"/>
              </w:rPr>
              <w:t>IA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∆IA variant of pCL55-SpA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pCL55-</w:t>
            </w:r>
            <w:r w:rsidRPr="006B1AA4">
              <w:rPr>
                <w:rFonts w:ascii="Calibri" w:hAnsi="Calibri" w:cstheme="majorHAnsi"/>
              </w:rPr>
              <w:t>SpA</w:t>
            </w:r>
            <w:r>
              <w:rPr>
                <w:rFonts w:ascii="Calibri" w:hAnsi="Calibri" w:cstheme="majorHAnsi"/>
                <w:vertAlign w:val="subscript"/>
                <w:lang w:val="de-DE"/>
              </w:rPr>
              <w:t>SP-</w:t>
            </w:r>
            <w:proofErr w:type="spellStart"/>
            <w:r>
              <w:rPr>
                <w:rFonts w:ascii="Calibri" w:hAnsi="Calibri" w:cstheme="majorHAnsi"/>
                <w:vertAlign w:val="subscript"/>
                <w:lang w:val="de-DE"/>
              </w:rPr>
              <w:t>SasF</w:t>
            </w:r>
            <w:proofErr w:type="spellEnd"/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6B1AA4">
              <w:rPr>
                <w:rFonts w:ascii="Calibri" w:hAnsi="Calibri" w:cstheme="majorHAnsi"/>
              </w:rPr>
              <w:t>SpA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signal peptide replaced by </w:t>
            </w:r>
            <w:proofErr w:type="spellStart"/>
            <w:r w:rsidRPr="006B1AA4">
              <w:rPr>
                <w:rFonts w:ascii="Calibri" w:hAnsi="Calibri" w:cstheme="majorHAnsi"/>
              </w:rPr>
              <w:t>SasF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signal peptide in pCL55-SpA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lastRenderedPageBreak/>
              <w:t>pCL55</w:t>
            </w:r>
            <w:r>
              <w:rPr>
                <w:rFonts w:ascii="Calibri" w:hAnsi="Calibri" w:cstheme="majorHAnsi"/>
              </w:rPr>
              <w:t>-P</w:t>
            </w:r>
            <w:r w:rsidRPr="004A2436">
              <w:rPr>
                <w:rFonts w:ascii="Calibri" w:hAnsi="Calibri" w:cstheme="majorHAnsi"/>
                <w:i/>
                <w:vertAlign w:val="subscript"/>
              </w:rPr>
              <w:t>tet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pCL55 </w:t>
            </w:r>
            <w:r>
              <w:rPr>
                <w:rFonts w:ascii="Calibri" w:hAnsi="Calibri" w:cstheme="majorHAnsi"/>
              </w:rPr>
              <w:t xml:space="preserve">with </w:t>
            </w:r>
            <w:proofErr w:type="spellStart"/>
            <w:r>
              <w:rPr>
                <w:rFonts w:ascii="Calibri" w:hAnsi="Calibri" w:cstheme="majorHAnsi"/>
              </w:rPr>
              <w:t>anhydro</w:t>
            </w:r>
            <w:r w:rsidRPr="006B1AA4">
              <w:rPr>
                <w:rFonts w:ascii="Calibri" w:hAnsi="Calibri" w:cstheme="majorHAnsi"/>
              </w:rPr>
              <w:t>tetracycline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inducible promoter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fldChar w:fldCharType="begin"/>
            </w:r>
            <w:r>
              <w:rPr>
                <w:rFonts w:ascii="Calibri" w:hAnsi="Calibri" w:cstheme="majorHAnsi"/>
              </w:rPr>
              <w:instrText xml:space="preserve"> ADDIN EN.CITE &lt;EndNote&gt;&lt;Cite&gt;&lt;Author&gt;Gründling&lt;/Author&gt;&lt;Year&gt;2007&lt;/Year&gt;&lt;RecNum&gt;5265&lt;/RecNum&gt;&lt;DisplayText&gt;(Gründling and Schneewind, 2007)&lt;/DisplayText&gt;&lt;record&gt;&lt;rec-number&gt;5265&lt;/rec-number&gt;&lt;foreign-keys&gt;&lt;key app="EN" db-id="dsed2vsrkexa5eexxsl5p9rhsetzpt9sxfvw" timestamp="0"&gt;5265&lt;/key&gt;&lt;/foreign-keys&gt;&lt;ref-type name="Journal Article"&gt;17&lt;/ref-type&gt;&lt;contributors&gt;&lt;authors&gt;&lt;author&gt;Gründling, A.&lt;/author&gt;&lt;author&gt;Schneewind, O.&lt;/author&gt;&lt;/authors&gt;&lt;/contributors&gt;&lt;titles&gt;&lt;title&gt;&lt;style face="normal" font="default" size="100%"&gt;Synthesis of glycerol phosphate lipoteichoic acid in &lt;/style&gt;&lt;style face="italic" font="default" size="100%"&gt;Staphylococcus aureus&lt;/style&gt;&lt;/title&gt;&lt;secondary-title&gt;Proc. Nat. Acad. Sci. USA&lt;/secondary-title&gt;&lt;/titles&gt;&lt;pages&gt;8478-8483&lt;/pages&gt;&lt;volume&gt;104&lt;/volume&gt;&lt;dates&gt;&lt;year&gt;2007&lt;/year&gt;&lt;/dates&gt;&lt;urls&gt;&lt;/urls&gt;&lt;/record&gt;&lt;/Cite&gt;&lt;/EndNote&gt;</w:instrText>
            </w:r>
            <w:r>
              <w:rPr>
                <w:rFonts w:ascii="Calibri" w:hAnsi="Calibri" w:cstheme="majorHAnsi"/>
              </w:rPr>
              <w:fldChar w:fldCharType="separate"/>
            </w:r>
            <w:r>
              <w:rPr>
                <w:rFonts w:ascii="Calibri" w:hAnsi="Calibri" w:cstheme="majorHAnsi"/>
                <w:noProof/>
              </w:rPr>
              <w:t>(Gründling and Schneewind, 2007)</w:t>
            </w:r>
            <w:r>
              <w:rPr>
                <w:rFonts w:ascii="Calibri" w:hAnsi="Calibri" w:cstheme="majorHAnsi"/>
              </w:rPr>
              <w:fldChar w:fldCharType="end"/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pCL55</w:t>
            </w:r>
            <w:r>
              <w:rPr>
                <w:rFonts w:ascii="Calibri" w:hAnsi="Calibri" w:cstheme="majorHAnsi"/>
              </w:rPr>
              <w:t>-P</w:t>
            </w:r>
            <w:r w:rsidRPr="004A2436">
              <w:rPr>
                <w:rFonts w:ascii="Calibri" w:hAnsi="Calibri" w:cstheme="majorHAnsi"/>
                <w:i/>
                <w:vertAlign w:val="subscript"/>
              </w:rPr>
              <w:t>tet</w:t>
            </w:r>
            <w:r w:rsidRPr="006B1AA4">
              <w:rPr>
                <w:rFonts w:ascii="Calibri" w:hAnsi="Calibri" w:cstheme="majorHAnsi"/>
              </w:rPr>
              <w:t>-</w:t>
            </w:r>
            <w:proofErr w:type="gramStart"/>
            <w:r w:rsidRPr="006B1AA4">
              <w:rPr>
                <w:rFonts w:ascii="Calibri" w:hAnsi="Calibri" w:cstheme="majorHAnsi"/>
                <w:i/>
                <w:iCs/>
              </w:rPr>
              <w:t>secA</w:t>
            </w:r>
            <w:r>
              <w:rPr>
                <w:rFonts w:ascii="Calibri" w:hAnsi="Calibri" w:cstheme="majorHAnsi"/>
                <w:i/>
                <w:iCs/>
              </w:rPr>
              <w:t>:</w:t>
            </w:r>
            <w:r w:rsidRPr="006B1AA4">
              <w:rPr>
                <w:rFonts w:ascii="Calibri" w:hAnsi="Calibri" w:cstheme="majorHAnsi"/>
                <w:i/>
                <w:iCs/>
              </w:rPr>
              <w:t>sfGFP</w:t>
            </w:r>
            <w:proofErr w:type="gramEnd"/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6B1AA4">
              <w:rPr>
                <w:rFonts w:ascii="Calibri" w:hAnsi="Calibri" w:cstheme="majorHAnsi"/>
              </w:rPr>
              <w:t>SecA-sfGFP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</w:t>
            </w:r>
            <w:r>
              <w:rPr>
                <w:rFonts w:ascii="Calibri" w:hAnsi="Calibri" w:cstheme="majorHAnsi"/>
              </w:rPr>
              <w:t>hybrid</w:t>
            </w:r>
            <w:r w:rsidRPr="006B1AA4">
              <w:rPr>
                <w:rFonts w:ascii="Calibri" w:hAnsi="Calibri" w:cstheme="majorHAnsi"/>
              </w:rPr>
              <w:t xml:space="preserve"> cloned in</w:t>
            </w:r>
            <w:r>
              <w:rPr>
                <w:rFonts w:ascii="Calibri" w:hAnsi="Calibri" w:cstheme="majorHAnsi"/>
              </w:rPr>
              <w:t>to</w:t>
            </w:r>
            <w:r w:rsidRPr="006B1AA4">
              <w:rPr>
                <w:rFonts w:ascii="Calibri" w:hAnsi="Calibri" w:cstheme="majorHAnsi"/>
              </w:rPr>
              <w:t xml:space="preserve"> pCL55</w:t>
            </w:r>
            <w:r>
              <w:rPr>
                <w:rFonts w:ascii="Calibri" w:hAnsi="Calibri" w:cstheme="majorHAnsi"/>
              </w:rPr>
              <w:t>-P</w:t>
            </w:r>
            <w:r w:rsidRPr="004A2436">
              <w:rPr>
                <w:rFonts w:ascii="Calibri" w:hAnsi="Calibri" w:cstheme="majorHAnsi"/>
                <w:i/>
                <w:vertAlign w:val="subscript"/>
              </w:rPr>
              <w:t>tet</w:t>
            </w:r>
            <w:r w:rsidRPr="006B1AA4">
              <w:rPr>
                <w:rFonts w:ascii="Calibri" w:hAnsi="Calibri" w:cstheme="majorHAnsi"/>
              </w:rPr>
              <w:t xml:space="preserve"> 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6B1AA4">
              <w:rPr>
                <w:rFonts w:ascii="Calibri" w:hAnsi="Calibri" w:cstheme="majorHAnsi"/>
              </w:rPr>
              <w:t>pMutin</w:t>
            </w:r>
            <w:proofErr w:type="spellEnd"/>
            <w:r w:rsidRPr="006B1AA4">
              <w:rPr>
                <w:rFonts w:ascii="Calibri" w:hAnsi="Calibri" w:cstheme="majorHAnsi"/>
              </w:rPr>
              <w:t>–HA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 xml:space="preserve">Single </w:t>
            </w:r>
            <w:r>
              <w:rPr>
                <w:rFonts w:ascii="Calibri" w:hAnsi="Calibri" w:cstheme="majorHAnsi"/>
              </w:rPr>
              <w:t xml:space="preserve">copy </w:t>
            </w:r>
            <w:r w:rsidRPr="006B1AA4">
              <w:rPr>
                <w:rFonts w:ascii="Calibri" w:hAnsi="Calibri" w:cstheme="majorHAnsi"/>
              </w:rPr>
              <w:t>integration vector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Bacillus Genetic Stock Center</w:t>
            </w:r>
          </w:p>
        </w:tc>
      </w:tr>
      <w:tr w:rsidR="002A671C" w:rsidRPr="006B1AA4" w:rsidTr="004C1E1A">
        <w:trPr>
          <w:trHeight w:val="310"/>
        </w:trPr>
        <w:tc>
          <w:tcPr>
            <w:tcW w:w="2011" w:type="dxa"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6B1AA4">
              <w:rPr>
                <w:rFonts w:ascii="Calibri" w:hAnsi="Calibri" w:cstheme="majorHAnsi"/>
              </w:rPr>
              <w:t>pMutin</w:t>
            </w:r>
            <w:proofErr w:type="spellEnd"/>
            <w:r w:rsidRPr="006B1AA4">
              <w:rPr>
                <w:rFonts w:ascii="Calibri" w:hAnsi="Calibri" w:cstheme="majorHAnsi"/>
              </w:rPr>
              <w:t>–HA-5’secA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D02F70">
              <w:rPr>
                <w:rFonts w:ascii="Calibri" w:hAnsi="Calibri" w:cstheme="majorHAnsi"/>
                <w:i/>
              </w:rPr>
              <w:t>secA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</w:t>
            </w:r>
            <w:r>
              <w:rPr>
                <w:rFonts w:ascii="Calibri" w:hAnsi="Calibri" w:cstheme="majorHAnsi"/>
              </w:rPr>
              <w:t xml:space="preserve">promoter and </w:t>
            </w:r>
            <w:r w:rsidRPr="006B1AA4">
              <w:rPr>
                <w:rFonts w:ascii="Calibri" w:hAnsi="Calibri" w:cstheme="majorHAnsi"/>
              </w:rPr>
              <w:t xml:space="preserve">656 </w:t>
            </w:r>
            <w:proofErr w:type="spellStart"/>
            <w:r w:rsidRPr="006B1AA4">
              <w:rPr>
                <w:rFonts w:ascii="Calibri" w:hAnsi="Calibri" w:cstheme="majorHAnsi"/>
              </w:rPr>
              <w:t>b</w:t>
            </w:r>
            <w:r>
              <w:rPr>
                <w:rFonts w:ascii="Calibri" w:hAnsi="Calibri" w:cstheme="majorHAnsi"/>
              </w:rPr>
              <w:t>p</w:t>
            </w:r>
            <w:proofErr w:type="spellEnd"/>
            <w:r>
              <w:rPr>
                <w:rFonts w:ascii="Calibri" w:hAnsi="Calibri" w:cstheme="majorHAnsi"/>
              </w:rPr>
              <w:t xml:space="preserve"> in </w:t>
            </w:r>
            <w:proofErr w:type="spellStart"/>
            <w:r>
              <w:rPr>
                <w:rFonts w:ascii="Calibri" w:hAnsi="Calibri" w:cstheme="majorHAnsi"/>
              </w:rPr>
              <w:t>pMutin</w:t>
            </w:r>
            <w:proofErr w:type="spellEnd"/>
            <w:r>
              <w:rPr>
                <w:rFonts w:ascii="Calibri" w:hAnsi="Calibri" w:cstheme="majorHAnsi"/>
              </w:rPr>
              <w:t>-HA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pKOR1-</w:t>
            </w:r>
            <w:r w:rsidRPr="005A25DE">
              <w:rPr>
                <w:rFonts w:ascii="Calibri" w:hAnsi="Calibri" w:cstheme="majorHAnsi"/>
                <w:i/>
              </w:rPr>
              <w:t>secDF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allel</w:t>
            </w:r>
            <w:r>
              <w:rPr>
                <w:rFonts w:ascii="Calibri" w:hAnsi="Calibri" w:cstheme="majorHAnsi"/>
              </w:rPr>
              <w:t xml:space="preserve">ic replacement vector for </w:t>
            </w:r>
            <w:proofErr w:type="spellStart"/>
            <w:r w:rsidRPr="008D22B2">
              <w:rPr>
                <w:rFonts w:ascii="Calibri" w:hAnsi="Calibri" w:cstheme="majorHAnsi"/>
                <w:i/>
              </w:rPr>
              <w:t>secDF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deletion 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pKOR1-</w:t>
            </w:r>
            <w:r w:rsidRPr="005A25DE">
              <w:rPr>
                <w:rFonts w:ascii="Calibri" w:hAnsi="Calibri" w:cstheme="majorHAnsi"/>
                <w:i/>
              </w:rPr>
              <w:t>rnd2</w:t>
            </w:r>
          </w:p>
        </w:tc>
        <w:tc>
          <w:tcPr>
            <w:tcW w:w="4029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allelic replacement vector for</w:t>
            </w:r>
            <w:r>
              <w:rPr>
                <w:rFonts w:ascii="Calibri" w:hAnsi="Calibri" w:cstheme="majorHAnsi"/>
                <w:i/>
              </w:rPr>
              <w:t xml:space="preserve"> rnd</w:t>
            </w:r>
            <w:r w:rsidRPr="00EE55F4">
              <w:rPr>
                <w:rFonts w:ascii="Calibri" w:hAnsi="Calibri" w:cstheme="majorHAnsi"/>
                <w:i/>
              </w:rPr>
              <w:t>2</w:t>
            </w:r>
            <w:r w:rsidRPr="006B1AA4">
              <w:rPr>
                <w:rFonts w:ascii="Calibri" w:hAnsi="Calibri" w:cstheme="majorHAnsi"/>
              </w:rPr>
              <w:t xml:space="preserve"> deletion </w:t>
            </w:r>
          </w:p>
        </w:tc>
        <w:tc>
          <w:tcPr>
            <w:tcW w:w="2590" w:type="dxa"/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  <w:tr w:rsidR="002A671C" w:rsidRPr="006B1AA4" w:rsidTr="004C1E1A">
        <w:trPr>
          <w:trHeight w:val="290"/>
        </w:trPr>
        <w:tc>
          <w:tcPr>
            <w:tcW w:w="2011" w:type="dxa"/>
            <w:tcBorders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6B1AA4">
              <w:rPr>
                <w:rFonts w:ascii="Calibri" w:hAnsi="Calibri" w:cstheme="majorHAnsi"/>
              </w:rPr>
              <w:t>pSecDF</w:t>
            </w:r>
            <w:proofErr w:type="spellEnd"/>
          </w:p>
        </w:tc>
        <w:tc>
          <w:tcPr>
            <w:tcW w:w="4029" w:type="dxa"/>
            <w:tcBorders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proofErr w:type="spellStart"/>
            <w:r w:rsidRPr="00EE55F4">
              <w:rPr>
                <w:rFonts w:ascii="Calibri" w:hAnsi="Calibri" w:cstheme="majorHAnsi"/>
                <w:i/>
              </w:rPr>
              <w:t>secDF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ORF and 274 </w:t>
            </w:r>
            <w:proofErr w:type="spellStart"/>
            <w:r w:rsidRPr="006B1AA4">
              <w:rPr>
                <w:rFonts w:ascii="Calibri" w:hAnsi="Calibri" w:cstheme="majorHAnsi"/>
              </w:rPr>
              <w:t>bp</w:t>
            </w:r>
            <w:proofErr w:type="spellEnd"/>
            <w:r w:rsidRPr="006B1AA4">
              <w:rPr>
                <w:rFonts w:ascii="Calibri" w:hAnsi="Calibri" w:cstheme="majorHAnsi"/>
              </w:rPr>
              <w:t xml:space="preserve"> upstream </w:t>
            </w:r>
            <w:r>
              <w:rPr>
                <w:rFonts w:ascii="Calibri" w:hAnsi="Calibri" w:cstheme="majorHAnsi"/>
              </w:rPr>
              <w:t>in</w:t>
            </w:r>
            <w:r w:rsidRPr="006B1AA4">
              <w:rPr>
                <w:rFonts w:ascii="Calibri" w:hAnsi="Calibri" w:cstheme="majorHAnsi"/>
              </w:rPr>
              <w:t xml:space="preserve"> pOS1</w:t>
            </w:r>
          </w:p>
        </w:tc>
        <w:tc>
          <w:tcPr>
            <w:tcW w:w="2590" w:type="dxa"/>
            <w:tcBorders>
              <w:bottom w:val="single" w:sz="8" w:space="0" w:color="auto"/>
            </w:tcBorders>
            <w:noWrap/>
            <w:hideMark/>
          </w:tcPr>
          <w:p w:rsidR="002A671C" w:rsidRPr="006B1AA4" w:rsidRDefault="002A671C" w:rsidP="004C1E1A">
            <w:pPr>
              <w:spacing w:line="360" w:lineRule="auto"/>
              <w:rPr>
                <w:rFonts w:ascii="Calibri" w:hAnsi="Calibri" w:cstheme="majorHAnsi"/>
              </w:rPr>
            </w:pPr>
            <w:r w:rsidRPr="006B1AA4">
              <w:rPr>
                <w:rFonts w:ascii="Calibri" w:hAnsi="Calibri" w:cstheme="majorHAnsi"/>
              </w:rPr>
              <w:t>This work</w:t>
            </w:r>
          </w:p>
        </w:tc>
      </w:tr>
    </w:tbl>
    <w:p w:rsidR="00385E07" w:rsidRDefault="00385E07">
      <w:bookmarkStart w:id="0" w:name="_GoBack"/>
      <w:bookmarkEnd w:id="0"/>
    </w:p>
    <w:sectPr w:rsidR="00385E07" w:rsidSect="00BE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1C"/>
    <w:rsid w:val="000556C6"/>
    <w:rsid w:val="00290DF7"/>
    <w:rsid w:val="002A4DC6"/>
    <w:rsid w:val="002A671C"/>
    <w:rsid w:val="00385E07"/>
    <w:rsid w:val="00517F02"/>
    <w:rsid w:val="00891D4A"/>
    <w:rsid w:val="009B43DC"/>
    <w:rsid w:val="00BE3558"/>
    <w:rsid w:val="00D42680"/>
    <w:rsid w:val="00E15AFF"/>
    <w:rsid w:val="00F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3ED537A-A60D-584D-8CFA-DAAC470B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671C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1649</Words>
  <Characters>9403</Characters>
  <Application>Microsoft Office Word</Application>
  <DocSecurity>0</DocSecurity>
  <Lines>78</Lines>
  <Paragraphs>22</Paragraphs>
  <ScaleCrop>false</ScaleCrop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2018-04-18T18:17:00Z</dcterms:created>
  <dcterms:modified xsi:type="dcterms:W3CDTF">2018-04-18T18:17:00Z</dcterms:modified>
</cp:coreProperties>
</file>