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DE5" w:rsidRDefault="00DB295B">
      <w:bookmarkStart w:id="0" w:name="_GoBack"/>
      <w:bookmarkEnd w:id="0"/>
      <w:r>
        <w:t>I</w:t>
      </w:r>
      <w:r w:rsidR="00D44E8F">
        <w:t xml:space="preserve">nfectivity was </w:t>
      </w:r>
      <w:r w:rsidR="007461CC">
        <w:t>characterised</w:t>
      </w:r>
      <w:r w:rsidR="00D44E8F">
        <w:t xml:space="preserve"> as a function of gametocyte density </w:t>
      </w:r>
      <w:r w:rsidR="004A58EA">
        <w:t>+</w:t>
      </w:r>
      <w:r w:rsidR="00D44E8F">
        <w:t xml:space="preserve">sing the linear, power, hyperbolic and </w:t>
      </w:r>
      <w:proofErr w:type="spellStart"/>
      <w:r w:rsidR="00D44E8F">
        <w:t>Gompertz</w:t>
      </w:r>
      <w:proofErr w:type="spellEnd"/>
      <w:r w:rsidR="00D44E8F">
        <w:t xml:space="preserve"> functions described in </w:t>
      </w:r>
      <w:r w:rsidR="00D44E8F">
        <w:fldChar w:fldCharType="begin"/>
      </w:r>
      <w:r w:rsidR="00D44E8F">
        <w:instrText xml:space="preserve"> ADDIN EN.CITE &lt;EndNote&gt;&lt;Cite&gt;&lt;Author&gt;Churcher&lt;/Author&gt;&lt;Year&gt;2013&lt;/Year&gt;&lt;RecNum&gt;1&lt;/RecNum&gt;&lt;DisplayText&gt;(1)&lt;/DisplayText&gt;&lt;record&gt;&lt;rec-number&gt;1&lt;/rec-number&gt;&lt;foreign-keys&gt;&lt;key app="EN" db-id="da9epatsw0xz2iepp9ix2dpp29s22zp5s5vs" timestamp="1504771510"&gt;1&lt;/key&gt;&lt;/foreign-keys&gt;&lt;ref-type name="Journal Article"&gt;17&lt;/ref-type&gt;&lt;contributors&gt;&lt;authors&gt;&lt;author&gt;Churcher, T. S.&lt;/author&gt;&lt;author&gt;Bousema, T.&lt;/author&gt;&lt;author&gt;Walker, M.&lt;/author&gt;&lt;author&gt;Drakeley, C.&lt;/author&gt;&lt;author&gt;Schneider, P.&lt;/author&gt;&lt;author&gt;Ouedraogo, A. L.&lt;/author&gt;&lt;author&gt;Basanez, M. G.&lt;/author&gt;&lt;/authors&gt;&lt;/contributors&gt;&lt;auth-address&gt;Department of Infectious Disease Epidemiology , Imperial College London , London , United Kingdom.&lt;/auth-address&gt;&lt;titles&gt;&lt;title&gt;Predicting mosquito infection from Plasmodium falciparum gametocyte density and estimating the reservoir of infection&lt;/title&gt;&lt;secondary-title&gt;Elife&lt;/secondary-title&gt;&lt;/titles&gt;&lt;periodical&gt;&lt;full-title&gt;Elife&lt;/full-title&gt;&lt;/periodical&gt;&lt;pages&gt;e00626&lt;/pages&gt;&lt;volume&gt;2&lt;/volume&gt;&lt;keywords&gt;&lt;keyword&gt;Animals&lt;/keyword&gt;&lt;keyword&gt;Anopheles gambiae/*parasitology&lt;/keyword&gt;&lt;keyword&gt;*Disease Reservoirs&lt;/keyword&gt;&lt;keyword&gt;Humans&lt;/keyword&gt;&lt;keyword&gt;Malaria, Falciparum/prevention &amp;amp; control/*transmission&lt;/keyword&gt;&lt;keyword&gt;Plasmodium falciparum/*cytology&lt;/keyword&gt;&lt;keyword&gt;Gametocyte&lt;/keyword&gt;&lt;keyword&gt;Human&lt;/keyword&gt;&lt;keyword&gt;Malaria&lt;/keyword&gt;&lt;keyword&gt;Mathematical Model&lt;/keyword&gt;&lt;keyword&gt;Mosquito&lt;/keyword&gt;&lt;keyword&gt;Reservoir of infection&lt;/keyword&gt;&lt;/keywords&gt;&lt;dates&gt;&lt;year&gt;2013&lt;/year&gt;&lt;pub-dates&gt;&lt;date&gt;May 21&lt;/date&gt;&lt;/pub-dates&gt;&lt;/dates&gt;&lt;isbn&gt;2050-084X (Print)&amp;#xD;2050-084X (Linking)&lt;/isbn&gt;&lt;accession-num&gt;23705071&lt;/accession-num&gt;&lt;urls&gt;&lt;related-urls&gt;&lt;url&gt;https://www.ncbi.nlm.nih.gov/pubmed/23705071&lt;/url&gt;&lt;/related-urls&gt;&lt;/urls&gt;&lt;custom2&gt;PMC3660740&lt;/custom2&gt;&lt;electronic-resource-num&gt;10.7554/eLife.00626&lt;/electronic-resource-num&gt;&lt;/record&gt;&lt;/Cite&gt;&lt;/EndNote&gt;</w:instrText>
      </w:r>
      <w:r w:rsidR="00D44E8F">
        <w:fldChar w:fldCharType="separate"/>
      </w:r>
      <w:r w:rsidR="00D44E8F">
        <w:rPr>
          <w:noProof/>
        </w:rPr>
        <w:t>(1)</w:t>
      </w:r>
      <w:r w:rsidR="00D44E8F">
        <w:fldChar w:fldCharType="end"/>
      </w:r>
      <w:r w:rsidR="00D44E8F">
        <w:t xml:space="preserve">. </w:t>
      </w:r>
      <w:r w:rsidR="005D5477">
        <w:t>Each curve was fit 3 times: as a function of total gametocyte density; as a function of female gametocyte density; and as a function of female</w:t>
      </w:r>
      <w:r w:rsidR="00CA7DE5">
        <w:t xml:space="preserve"> and male</w:t>
      </w:r>
      <w:r w:rsidR="005D5477">
        <w:t xml:space="preserve"> g</w:t>
      </w:r>
      <w:r w:rsidR="00CA7DE5">
        <w:t>ametocyte density (female density describing the overall shape whilst male gametocyte density allows transmission to be impeded at low densities). The full equation</w:t>
      </w:r>
      <w:r w:rsidR="00003575">
        <w:t xml:space="preserve"> (</w:t>
      </w:r>
      <w:r w:rsidR="00A00A5D">
        <w:t>extending</w:t>
      </w:r>
      <w:r w:rsidR="00003575">
        <w:t xml:space="preserve"> the notation of the original manuscript)</w:t>
      </w:r>
      <w:r w:rsidR="00CA7DE5">
        <w:t xml:space="preserve"> is given below,</w:t>
      </w:r>
    </w:p>
    <w:p w:rsidR="00F234D2" w:rsidRDefault="00F234D2"/>
    <w:p w:rsidR="00CA7DE5" w:rsidRPr="00F234D2" w:rsidRDefault="0099137B" w:rsidP="00496E0A">
      <w:pPr>
        <w:jc w:val="center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g=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1-exp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-τ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  <m:r>
                    <w:rPr>
                      <w:rFonts w:ascii="Cambria Math" w:hAnsi="Cambria Math"/>
                    </w:rPr>
                    <m:t>'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⁡</m:t>
              </m:r>
            </m:e>
          </m:d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f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r>
                <w:rPr>
                  <w:rFonts w:ascii="Cambria Math" w:hAnsi="Cambria Math"/>
                </w:rPr>
                <m:t>'</m:t>
              </m:r>
              <m:r>
                <m:rPr>
                  <m:sty m:val="p"/>
                </m:rPr>
                <w:rPr>
                  <w:rFonts w:ascii="Cambria Math" w:hAnsi="Cambria Math"/>
                </w:rPr>
                <m:t xml:space="preserve"> </m:t>
              </m:r>
            </m:e>
          </m:d>
          <m:r>
            <w:rPr>
              <w:rFonts w:ascii="Cambria Math" w:hAnsi="Cambria Math"/>
            </w:rPr>
            <m:t xml:space="preserve">(1+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bobo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bal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y</m:t>
              </m:r>
            </m:e>
            <m:sub>
              <m:r>
                <w:rPr>
                  <w:rFonts w:ascii="Cambria Math" w:hAnsi="Cambria Math"/>
                </w:rPr>
                <m:t>cam</m:t>
              </m:r>
            </m:sub>
          </m:sSub>
          <m:r>
            <w:rPr>
              <w:rFonts w:ascii="Cambria Math" w:hAnsi="Cambria Math"/>
            </w:rPr>
            <m:t>)</m:t>
          </m:r>
        </m:oMath>
      </m:oMathPara>
    </w:p>
    <w:p w:rsidR="00F234D2" w:rsidRPr="00003575" w:rsidRDefault="00F234D2" w:rsidP="00496E0A">
      <w:pPr>
        <w:jc w:val="center"/>
        <w:rPr>
          <w:rFonts w:eastAsiaTheme="minorEastAsia"/>
        </w:rPr>
      </w:pPr>
    </w:p>
    <w:p w:rsidR="00F234D2" w:rsidRDefault="00003575">
      <w:r>
        <w:t xml:space="preserve">where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</w:rPr>
                </m:ctrlPr>
              </m:accPr>
              <m:e>
                <m:r>
                  <w:rPr>
                    <w:rFonts w:ascii="Cambria Math" w:hAnsi="Cambria Math"/>
                  </w:rPr>
                  <m:t>x</m:t>
                </m:r>
              </m:e>
            </m:acc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'</m:t>
        </m:r>
      </m:oMath>
      <w:r>
        <w:t xml:space="preserve"> is the estimated gametocyte density, be it female parasites (</w:t>
      </w:r>
      <w:r>
        <w:rPr>
          <w:i/>
        </w:rPr>
        <w:t>d</w:t>
      </w:r>
      <w:r>
        <w:t>=</w:t>
      </w:r>
      <w:r w:rsidRPr="00EE6EC4">
        <w:rPr>
          <w:i/>
        </w:rPr>
        <w:t>f</w:t>
      </w:r>
      <w:r>
        <w:t>), male parasites (</w:t>
      </w:r>
      <w:r>
        <w:rPr>
          <w:i/>
        </w:rPr>
        <w:t>d</w:t>
      </w:r>
      <w:r>
        <w:t>=</w:t>
      </w:r>
      <w:r>
        <w:rPr>
          <w:i/>
        </w:rPr>
        <w:t>m</w:t>
      </w:r>
      <w:r>
        <w:t xml:space="preserve">) or total gametocytes (sum of females and males, </w:t>
      </w:r>
      <w:r>
        <w:rPr>
          <w:i/>
        </w:rPr>
        <w:t>d</w:t>
      </w:r>
      <w:r>
        <w:t>=</w:t>
      </w:r>
      <w:r>
        <w:rPr>
          <w:i/>
        </w:rPr>
        <w:t>t</w:t>
      </w:r>
      <w:r>
        <w:t>)</w:t>
      </w:r>
      <w:r w:rsidR="0014406F">
        <w:rPr>
          <w:rFonts w:eastAsiaTheme="minorEastAsia"/>
        </w:rPr>
        <w:t xml:space="preserve"> and</w:t>
      </w:r>
      <m:oMath>
        <m:r>
          <w:rPr>
            <w:rFonts w:ascii="Cambria Math" w:hAnsi="Cambria Math"/>
          </w:rPr>
          <m:t xml:space="preserve"> τ</m:t>
        </m:r>
      </m:oMath>
      <w:r w:rsidR="0014406F">
        <w:t xml:space="preserve"> indicates the restriction in transmission imposed by having too few males</w:t>
      </w:r>
      <w:r>
        <w:t xml:space="preserve">. </w:t>
      </w:r>
      <w:r w:rsidR="00496E0A">
        <w:t>The f</w:t>
      </w:r>
      <w:r>
        <w:t xml:space="preserve">unction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  <m:r>
              <w:rPr>
                <w:rFonts w:ascii="Cambria Math" w:hAnsi="Cambria Math"/>
              </w:rPr>
              <m:t>'</m:t>
            </m:r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</m:e>
        </m:d>
      </m:oMath>
      <w:r>
        <w:t xml:space="preserve"> determin</w:t>
      </w:r>
      <w:r w:rsidR="00496E0A">
        <w:t>es</w:t>
      </w:r>
      <w:r>
        <w:t xml:space="preserve"> the shape of the relationship between gametocytes and proportion of mosquitoes developing oocysts. Subscript </w:t>
      </w:r>
      <w:r w:rsidRPr="00003575">
        <w:rPr>
          <w:i/>
        </w:rPr>
        <w:t xml:space="preserve">i </w:t>
      </w:r>
      <w:r>
        <w:t xml:space="preserve">indicates the functional form used, be it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α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'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e>
              <m:sup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sup>
            </m:sSup>
          </m:num>
          <m:den>
            <m:r>
              <m:rPr>
                <m:sty m:val="p"/>
              </m:rPr>
              <w:rPr>
                <w:rFonts w:ascii="Cambria Math" w:hAnsi="Cambria Math"/>
              </w:rPr>
              <m:t>1+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'</m:t>
            </m:r>
          </m:den>
        </m:f>
      </m:oMath>
      <w:r>
        <w:t xml:space="preserve"> </w:t>
      </w:r>
      <w:r w:rsidRPr="00003575">
        <w:t xml:space="preserve">where constraining different parameters can generate a range of different shapes (linear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Pr="00003575">
        <w:t xml:space="preserve"> = 1;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 w:rsidRPr="00003575">
        <w:t xml:space="preserve"> = 0</w:t>
      </w:r>
      <w:r w:rsidR="00A00A5D">
        <w:t>)</w:t>
      </w:r>
      <w:r w:rsidRPr="00003575">
        <w:t>, p</w:t>
      </w:r>
      <w:r w:rsidR="00A13C40">
        <w:t>ower</w:t>
      </w:r>
      <w:r w:rsidR="00A00A5D">
        <w:t xml:space="preserve">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 w:rsidR="00A13C40" w:rsidRPr="00003575">
        <w:t xml:space="preserve"> </w:t>
      </w:r>
      <w:r w:rsidRPr="00003575">
        <w:t>= 0</w:t>
      </w:r>
      <w:r w:rsidR="00A00A5D">
        <w:t>)</w:t>
      </w:r>
      <w:r w:rsidRPr="00003575">
        <w:t xml:space="preserve">, </w:t>
      </w:r>
      <w:r w:rsidR="00A13C40">
        <w:t>hyperbolic</w:t>
      </w:r>
      <w:r w:rsidR="00A00A5D">
        <w:t xml:space="preserve"> (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</m:oMath>
      <w:r w:rsidR="00A13C40">
        <w:t>&gt; 0</w:t>
      </w:r>
      <w:r w:rsidR="00A00A5D">
        <w:t>,</w:t>
      </w:r>
      <w:r w:rsidR="00A00A5D" w:rsidRPr="004A58EA"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="00A13C40">
        <w:t>= 1</w:t>
      </w:r>
      <w:r w:rsidR="00A00A5D">
        <w:t>,</w:t>
      </w:r>
      <w:r w:rsidR="00A13C40">
        <w:t xml:space="preserve">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</m:oMath>
      <w:r w:rsidR="00A13C40">
        <w:t>&gt; 0</w:t>
      </w:r>
      <w:r w:rsidRPr="00003575">
        <w:t>)</w:t>
      </w:r>
      <w:r w:rsidR="00A00A5D">
        <w:t xml:space="preserve"> or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f</m:t>
            </m:r>
          </m:e>
          <m:sub>
            <m:r>
              <w:rPr>
                <w:rFonts w:ascii="Cambria Math" w:hAnsi="Cambria Math"/>
              </w:rPr>
              <m:t>γ</m:t>
            </m:r>
          </m:sub>
        </m:sSub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acc>
              </m:e>
              <m:sub>
                <m:r>
                  <w:rPr>
                    <w:rFonts w:ascii="Cambria Math" w:hAnsi="Cambria Math"/>
                  </w:rPr>
                  <m:t>d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'</m:t>
            </m:r>
          </m:e>
        </m:d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 xml:space="preserve">1 </m:t>
            </m:r>
          </m:sub>
        </m:sSub>
        <m:r>
          <m:rPr>
            <m:sty m:val="p"/>
          </m:rPr>
          <w:rPr>
            <w:rFonts w:ascii="Cambria Math" w:hAnsi="Cambria Math"/>
          </w:rPr>
          <m:t>exp</m:t>
        </m:r>
        <m:d>
          <m:dPr>
            <m:begChr m:val="["/>
            <m:endChr m:val="]"/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 w:hAnsi="Cambria Math"/>
                  </w:rPr>
                  <m:t>γ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 xml:space="preserve"> exp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 </m:t>
                    </m:r>
                    <m:acc>
                      <m:accPr>
                        <m:ctrlPr>
                          <w:rPr>
                            <w:rFonts w:ascii="Cambria Math" w:hAnsi="Cambria Math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'</m:t>
                </m:r>
              </m:e>
            </m:d>
          </m:e>
        </m:d>
      </m:oMath>
      <w:r w:rsidR="0014406F" w:rsidRPr="004A58EA">
        <w:t xml:space="preserve"> </w:t>
      </w:r>
      <w:r>
        <w:t xml:space="preserve">which generates a </w:t>
      </w:r>
      <w:proofErr w:type="spellStart"/>
      <w:r>
        <w:t>Gompertz</w:t>
      </w:r>
      <w:proofErr w:type="spellEnd"/>
      <w:r>
        <w:t xml:space="preserve"> (sigmoid-like) function</w:t>
      </w:r>
      <w:r w:rsidR="0014406F">
        <w:t xml:space="preserve">. </w:t>
      </w:r>
      <w:r w:rsidR="004A58EA">
        <w:t xml:space="preserve">The variables </w:t>
      </w:r>
      <w:proofErr w:type="spellStart"/>
      <w:r w:rsidR="004A58EA">
        <w:t>ybobo</w:t>
      </w:r>
      <w:proofErr w:type="spellEnd"/>
      <w:r w:rsidR="004A58EA">
        <w:t xml:space="preserve">, </w:t>
      </w:r>
      <w:proofErr w:type="spellStart"/>
      <w:r w:rsidR="004A58EA">
        <w:t>ybal</w:t>
      </w:r>
      <w:proofErr w:type="spellEnd"/>
      <w:r w:rsidR="004A58EA">
        <w:t xml:space="preserve"> and </w:t>
      </w:r>
      <w:proofErr w:type="spellStart"/>
      <w:r w:rsidR="004A58EA">
        <w:t>ycam</w:t>
      </w:r>
      <w:proofErr w:type="spellEnd"/>
      <w:r w:rsidR="004A58EA">
        <w:t xml:space="preserve"> are indicator variables for whether a subject was from </w:t>
      </w:r>
      <w:r w:rsidR="004A58EA" w:rsidRPr="004A58EA">
        <w:t xml:space="preserve">Bobo </w:t>
      </w:r>
      <w:proofErr w:type="spellStart"/>
      <w:r w:rsidR="004A58EA" w:rsidRPr="004A58EA">
        <w:t>Dioulasso</w:t>
      </w:r>
      <w:proofErr w:type="spellEnd"/>
      <w:r w:rsidR="004A58EA" w:rsidRPr="004A58EA">
        <w:t xml:space="preserve">, </w:t>
      </w:r>
      <w:proofErr w:type="spellStart"/>
      <w:r w:rsidR="004A58EA" w:rsidRPr="004A58EA">
        <w:t>Balonghin</w:t>
      </w:r>
      <w:proofErr w:type="spellEnd"/>
      <w:r w:rsidR="004A58EA" w:rsidRPr="004A58EA">
        <w:t xml:space="preserve"> or Cameroon respectively.</w:t>
      </w:r>
      <w:r w:rsidR="00F234D2">
        <w:t xml:space="preserve"> </w:t>
      </w:r>
    </w:p>
    <w:p w:rsidR="00F234D2" w:rsidRDefault="00F234D2"/>
    <w:p w:rsidR="000D4196" w:rsidRDefault="006B0501">
      <w:pPr>
        <w:rPr>
          <w:rFonts w:eastAsiaTheme="minorEastAsia"/>
        </w:rPr>
      </w:pPr>
      <w:r w:rsidRPr="004A58EA">
        <w:t xml:space="preserve">All models were fit to data </w:t>
      </w:r>
      <w:r w:rsidR="00537553" w:rsidRPr="004A58EA">
        <w:t>provided</w:t>
      </w:r>
      <w:r w:rsidRPr="004A58EA">
        <w:t xml:space="preserve"> in Figure 2 – Source Data 1 using methods presented in (1) which use</w:t>
      </w:r>
      <w:r>
        <w:rPr>
          <w:rFonts w:eastAsiaTheme="minorEastAsia"/>
        </w:rPr>
        <w:t xml:space="preserve"> the dilution series trendlines to convert Ct values to estimates of gametocyte density.  </w:t>
      </w:r>
      <w:r w:rsidR="00537553">
        <w:rPr>
          <w:rFonts w:eastAsiaTheme="minorEastAsia"/>
        </w:rPr>
        <w:t>A full list of the models tested and their fit to data are provided below.</w:t>
      </w:r>
    </w:p>
    <w:p w:rsidR="00F234D2" w:rsidRDefault="00F234D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93"/>
        <w:gridCol w:w="1705"/>
        <w:gridCol w:w="1706"/>
        <w:gridCol w:w="1706"/>
        <w:gridCol w:w="1706"/>
      </w:tblGrid>
      <w:tr w:rsidR="00BB0DF0" w:rsidTr="00804FF2">
        <w:trPr>
          <w:trHeight w:val="199"/>
        </w:trPr>
        <w:tc>
          <w:tcPr>
            <w:tcW w:w="2193" w:type="dxa"/>
            <w:vMerge w:val="restart"/>
          </w:tcPr>
          <w:p w:rsidR="00BB0DF0" w:rsidRDefault="00BB0DF0"/>
        </w:tc>
        <w:tc>
          <w:tcPr>
            <w:tcW w:w="6823" w:type="dxa"/>
            <w:gridSpan w:val="4"/>
          </w:tcPr>
          <w:p w:rsidR="00BB0DF0" w:rsidRDefault="00BB0DF0" w:rsidP="0010243B">
            <w:pPr>
              <w:jc w:val="center"/>
            </w:pPr>
            <w:r>
              <w:t>Model fit (Deviance information criteria, DIC)</w:t>
            </w:r>
          </w:p>
        </w:tc>
      </w:tr>
      <w:tr w:rsidR="00BB0DF0" w:rsidTr="00BB0DF0">
        <w:tc>
          <w:tcPr>
            <w:tcW w:w="2193" w:type="dxa"/>
            <w:vMerge/>
          </w:tcPr>
          <w:p w:rsidR="00BB0DF0" w:rsidRDefault="00BB0DF0" w:rsidP="00BB0DF0"/>
        </w:tc>
        <w:tc>
          <w:tcPr>
            <w:tcW w:w="1705" w:type="dxa"/>
          </w:tcPr>
          <w:p w:rsidR="00BB0DF0" w:rsidRDefault="00BB0DF0" w:rsidP="00BB0DF0">
            <w:pPr>
              <w:jc w:val="center"/>
            </w:pPr>
            <w:r>
              <w:t xml:space="preserve">Total gametocyte density </w:t>
            </w:r>
          </w:p>
          <w:p w:rsidR="00BB0DF0" w:rsidRDefault="00BB0DF0" w:rsidP="00BB0DF0">
            <w:pPr>
              <w:jc w:val="center"/>
            </w:pPr>
            <w:r>
              <w:t>(</w:t>
            </w:r>
            <w:r>
              <w:rPr>
                <w:i/>
              </w:rPr>
              <w:t>d</w:t>
            </w:r>
            <w:r>
              <w:t>=</w:t>
            </w:r>
            <w:r>
              <w:rPr>
                <w:i/>
              </w:rPr>
              <w:t>t</w:t>
            </w:r>
            <w:r w:rsidRPr="0010243B">
              <w:t>,</w:t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τ</m:t>
              </m:r>
            </m:oMath>
            <w:r>
              <w:rPr>
                <w:rFonts w:eastAsiaTheme="minorEastAsia"/>
              </w:rPr>
              <w:t>=1000</w:t>
            </w:r>
            <w:r>
              <w:t>)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>
              <w:t xml:space="preserve">Female gametocyte density </w:t>
            </w:r>
          </w:p>
          <w:p w:rsidR="00BB0DF0" w:rsidRDefault="00BB0DF0" w:rsidP="00BB0DF0">
            <w:pPr>
              <w:jc w:val="center"/>
            </w:pPr>
            <w:r>
              <w:t>(</w:t>
            </w:r>
            <w:r>
              <w:rPr>
                <w:i/>
              </w:rPr>
              <w:t>d</w:t>
            </w:r>
            <w:r>
              <w:t>=</w:t>
            </w:r>
            <w:r w:rsidRPr="00EE6EC4">
              <w:rPr>
                <w:i/>
              </w:rPr>
              <w:t>f</w:t>
            </w:r>
            <w:r>
              <w:t>,</w:t>
            </w:r>
            <w:r>
              <w:rPr>
                <w:i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τ</m:t>
              </m:r>
            </m:oMath>
            <w:r>
              <w:rPr>
                <w:rFonts w:eastAsiaTheme="minorEastAsia"/>
              </w:rPr>
              <w:t>=1000</w:t>
            </w:r>
            <w:r>
              <w:t>)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>
              <w:t xml:space="preserve">Male gametocyte density </w:t>
            </w:r>
          </w:p>
          <w:p w:rsidR="00BB0DF0" w:rsidRDefault="00BB0DF0" w:rsidP="00BB0DF0">
            <w:pPr>
              <w:jc w:val="center"/>
            </w:pPr>
            <w:r>
              <w:t>(</w:t>
            </w:r>
            <w:r>
              <w:rPr>
                <w:i/>
              </w:rPr>
              <w:t>d</w:t>
            </w:r>
            <w:r>
              <w:t>=</w:t>
            </w:r>
            <w:r>
              <w:rPr>
                <w:i/>
              </w:rPr>
              <w:t>m</w:t>
            </w:r>
            <w:r>
              <w:t>,</w:t>
            </w:r>
            <w:r>
              <w:rPr>
                <w:i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τ</m:t>
              </m:r>
            </m:oMath>
            <w:r>
              <w:rPr>
                <w:rFonts w:eastAsiaTheme="minorEastAsia"/>
              </w:rPr>
              <w:t>=1000</w:t>
            </w:r>
            <w:r>
              <w:t>)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>
              <w:t>Female and male gametocyte density (</w:t>
            </w:r>
            <w:r>
              <w:rPr>
                <w:i/>
              </w:rPr>
              <w:t>d</w:t>
            </w:r>
            <w:r>
              <w:t>=</w:t>
            </w:r>
            <w:r>
              <w:rPr>
                <w:i/>
              </w:rPr>
              <w:t>f</w:t>
            </w:r>
            <w:r>
              <w:t>)</w:t>
            </w:r>
          </w:p>
        </w:tc>
      </w:tr>
      <w:tr w:rsidR="00BB0DF0" w:rsidTr="00BB0DF0">
        <w:tc>
          <w:tcPr>
            <w:tcW w:w="2193" w:type="dxa"/>
          </w:tcPr>
          <w:p w:rsidR="00BB0DF0" w:rsidRDefault="00BB0DF0" w:rsidP="00BB0DF0">
            <w:r>
              <w:t>Linear</w:t>
            </w:r>
          </w:p>
          <w:p w:rsidR="00BB0DF0" w:rsidRDefault="00BB0DF0" w:rsidP="00BB0DF0">
            <w: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α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/>
                    </w:rPr>
                    <m:t>'</m:t>
                  </m:r>
                </m:e>
              </m:d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eastAsiaTheme="minorEastAsia"/>
              </w:rPr>
              <w:t>=1,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eastAsiaTheme="minorEastAsia"/>
              </w:rPr>
              <w:t>=0)</w:t>
            </w:r>
          </w:p>
        </w:tc>
        <w:tc>
          <w:tcPr>
            <w:tcW w:w="1705" w:type="dxa"/>
          </w:tcPr>
          <w:p w:rsidR="00BB0DF0" w:rsidRDefault="00BB0DF0" w:rsidP="00BB0DF0">
            <w:pPr>
              <w:jc w:val="center"/>
            </w:pPr>
            <w:r>
              <w:t>576.0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 w:rsidRPr="005D5477">
              <w:t>574.4</w:t>
            </w:r>
          </w:p>
        </w:tc>
        <w:tc>
          <w:tcPr>
            <w:tcW w:w="1706" w:type="dxa"/>
          </w:tcPr>
          <w:p w:rsidR="00BB0DF0" w:rsidRPr="005D5477" w:rsidRDefault="00CB39D7" w:rsidP="00BB0DF0">
            <w:pPr>
              <w:jc w:val="center"/>
            </w:pPr>
            <w:r w:rsidRPr="00CB39D7">
              <w:t>572.3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 w:rsidRPr="005D5477">
              <w:t>566.4</w:t>
            </w:r>
          </w:p>
        </w:tc>
      </w:tr>
      <w:tr w:rsidR="00BB0DF0" w:rsidTr="00BB0DF0">
        <w:tc>
          <w:tcPr>
            <w:tcW w:w="2193" w:type="dxa"/>
          </w:tcPr>
          <w:p w:rsidR="00BB0DF0" w:rsidRDefault="00BB0DF0" w:rsidP="00BB0DF0">
            <w:r>
              <w:t>Power</w:t>
            </w:r>
          </w:p>
          <w:p w:rsidR="00BB0DF0" w:rsidRDefault="00BB0DF0" w:rsidP="00BB0DF0">
            <w: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α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'</m:t>
                      </m:r>
                    </m:e>
                  </m:d>
                  <m:r>
                    <w:rPr>
                      <w:rFonts w:ascii="Cambria Math" w:hAnsi="Cambria Math"/>
                    </w:rPr>
                    <m:t>,α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>
              <w:rPr>
                <w:rFonts w:eastAsiaTheme="minorEastAsia"/>
              </w:rPr>
              <w:t>=0)</w:t>
            </w:r>
          </w:p>
        </w:tc>
        <w:tc>
          <w:tcPr>
            <w:tcW w:w="1705" w:type="dxa"/>
          </w:tcPr>
          <w:p w:rsidR="00BB0DF0" w:rsidRDefault="00BB0DF0" w:rsidP="00BB0DF0">
            <w:pPr>
              <w:jc w:val="center"/>
            </w:pPr>
            <w:r>
              <w:t>501.7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 w:rsidRPr="005D5477">
              <w:t>481.3</w:t>
            </w:r>
          </w:p>
        </w:tc>
        <w:tc>
          <w:tcPr>
            <w:tcW w:w="1706" w:type="dxa"/>
          </w:tcPr>
          <w:p w:rsidR="00BB0DF0" w:rsidRPr="00CB39D7" w:rsidRDefault="00CB39D7" w:rsidP="00BB0DF0">
            <w:pPr>
              <w:jc w:val="center"/>
            </w:pPr>
            <w:r w:rsidRPr="00CB39D7">
              <w:t>538.8</w:t>
            </w:r>
          </w:p>
        </w:tc>
        <w:tc>
          <w:tcPr>
            <w:tcW w:w="1706" w:type="dxa"/>
          </w:tcPr>
          <w:p w:rsidR="00BB0DF0" w:rsidRPr="00496E0A" w:rsidRDefault="00BB0DF0" w:rsidP="00BB0DF0">
            <w:pPr>
              <w:jc w:val="center"/>
              <w:rPr>
                <w:b/>
              </w:rPr>
            </w:pPr>
            <w:r w:rsidRPr="00496E0A">
              <w:rPr>
                <w:b/>
              </w:rPr>
              <w:t>451.5</w:t>
            </w:r>
          </w:p>
        </w:tc>
      </w:tr>
      <w:tr w:rsidR="00BB0DF0" w:rsidTr="00BB0DF0">
        <w:tc>
          <w:tcPr>
            <w:tcW w:w="2193" w:type="dxa"/>
          </w:tcPr>
          <w:p w:rsidR="00BB0DF0" w:rsidRDefault="00BB0DF0" w:rsidP="00BB0DF0">
            <w:r>
              <w:t>Hyperbolic</w:t>
            </w:r>
          </w:p>
          <w:p w:rsidR="00BB0DF0" w:rsidRDefault="00BB0DF0" w:rsidP="00BB0DF0">
            <w: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α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/>
                    </w:rPr>
                    <m:t>'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>
              <w:rPr>
                <w:rFonts w:eastAsiaTheme="minorEastAsia"/>
              </w:rPr>
              <w:t>=1)</w:t>
            </w:r>
          </w:p>
        </w:tc>
        <w:tc>
          <w:tcPr>
            <w:tcW w:w="1705" w:type="dxa"/>
          </w:tcPr>
          <w:p w:rsidR="00BB0DF0" w:rsidRDefault="00BB0DF0" w:rsidP="00BB0DF0">
            <w:pPr>
              <w:jc w:val="center"/>
            </w:pPr>
            <w:r>
              <w:t>573.0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 w:rsidRPr="005D5477">
              <w:t>564.8</w:t>
            </w:r>
          </w:p>
        </w:tc>
        <w:tc>
          <w:tcPr>
            <w:tcW w:w="1706" w:type="dxa"/>
          </w:tcPr>
          <w:p w:rsidR="00BB0DF0" w:rsidRDefault="00CB39D7" w:rsidP="00BB0DF0">
            <w:pPr>
              <w:jc w:val="center"/>
            </w:pPr>
            <w:r>
              <w:t>517.4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>
              <w:t>+</w:t>
            </w:r>
          </w:p>
        </w:tc>
      </w:tr>
      <w:tr w:rsidR="00BB0DF0" w:rsidTr="00BB0DF0">
        <w:tc>
          <w:tcPr>
            <w:tcW w:w="2193" w:type="dxa"/>
          </w:tcPr>
          <w:p w:rsidR="00BB0DF0" w:rsidRDefault="00BB0DF0" w:rsidP="00BB0DF0">
            <w:proofErr w:type="spellStart"/>
            <w:r>
              <w:t>Gompertz</w:t>
            </w:r>
            <w:proofErr w:type="spellEnd"/>
          </w:p>
          <w:p w:rsidR="00BB0DF0" w:rsidRDefault="00BB0DF0" w:rsidP="00BB0DF0">
            <w:r>
              <w:t>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γ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/>
                    </w:rPr>
                    <m:t>'</m:t>
                  </m:r>
                </m:e>
              </m:d>
            </m:oMath>
            <w:r>
              <w:rPr>
                <w:rFonts w:eastAsiaTheme="minorEastAsia"/>
              </w:rPr>
              <w:t>)</w:t>
            </w:r>
          </w:p>
        </w:tc>
        <w:tc>
          <w:tcPr>
            <w:tcW w:w="1705" w:type="dxa"/>
          </w:tcPr>
          <w:p w:rsidR="00BB0DF0" w:rsidRDefault="00BB0DF0" w:rsidP="00BB0DF0">
            <w:pPr>
              <w:jc w:val="center"/>
            </w:pPr>
            <w:r>
              <w:t>557.4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 w:rsidRPr="005D5477">
              <w:t>555.7</w:t>
            </w:r>
          </w:p>
        </w:tc>
        <w:tc>
          <w:tcPr>
            <w:tcW w:w="1706" w:type="dxa"/>
          </w:tcPr>
          <w:p w:rsidR="00BB0DF0" w:rsidRPr="005D5477" w:rsidRDefault="00CB39D7" w:rsidP="00BB0DF0">
            <w:pPr>
              <w:jc w:val="center"/>
            </w:pPr>
            <w:r w:rsidRPr="00CB39D7">
              <w:t>564.0</w:t>
            </w:r>
          </w:p>
        </w:tc>
        <w:tc>
          <w:tcPr>
            <w:tcW w:w="1706" w:type="dxa"/>
          </w:tcPr>
          <w:p w:rsidR="00BB0DF0" w:rsidRDefault="00BB0DF0" w:rsidP="00BB0DF0">
            <w:pPr>
              <w:jc w:val="center"/>
            </w:pPr>
            <w:r w:rsidRPr="005D5477">
              <w:t>548.3</w:t>
            </w:r>
          </w:p>
        </w:tc>
      </w:tr>
    </w:tbl>
    <w:p w:rsidR="000D4196" w:rsidRPr="00537553" w:rsidRDefault="00537553">
      <w:pPr>
        <w:rPr>
          <w:vertAlign w:val="superscript"/>
        </w:rPr>
      </w:pPr>
      <w:r>
        <w:t>+ models with this combination of functions failed to converge and so were discounted.</w:t>
      </w:r>
    </w:p>
    <w:p w:rsidR="00F234D2" w:rsidRDefault="00F234D2" w:rsidP="004A58EA"/>
    <w:p w:rsidR="004A58EA" w:rsidRDefault="004A58EA" w:rsidP="004A58EA">
      <w:r>
        <w:t xml:space="preserve">The model with the lowest DIC is the power function as a function of Female gametocyte density multiplied by </w:t>
      </w:r>
      <w:r w:rsidRPr="005D5477">
        <w:t>(</w:t>
      </w:r>
      <w:r w:rsidRPr="004852F4">
        <w:rPr>
          <w:i/>
        </w:rPr>
        <w:t>1</w:t>
      </w:r>
      <w:r w:rsidRPr="005D5477">
        <w:t>-exp(-</w:t>
      </w:r>
      <w:r w:rsidRPr="004852F4">
        <w:rPr>
          <w:i/>
        </w:rPr>
        <w:t>a*g</w:t>
      </w:r>
      <w:r w:rsidRPr="004852F4">
        <w:rPr>
          <w:i/>
          <w:vertAlign w:val="subscript"/>
        </w:rPr>
        <w:t>m</w:t>
      </w:r>
      <w:r w:rsidRPr="005D5477">
        <w:t>))</w:t>
      </w:r>
      <w:r>
        <w:t xml:space="preserve"> is presented in Figure 2A. </w:t>
      </w:r>
      <w:r w:rsidR="00F234D2">
        <w:t xml:space="preserve"> </w:t>
      </w:r>
      <w:r>
        <w:t>Estimates and credible intervals for the coefficients are given in the table below:</w:t>
      </w:r>
    </w:p>
    <w:p w:rsidR="00F234D2" w:rsidRDefault="00F234D2" w:rsidP="004A58E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</w:tblGrid>
      <w:tr w:rsidR="004A58EA" w:rsidTr="004A58EA">
        <w:tc>
          <w:tcPr>
            <w:tcW w:w="2254" w:type="dxa"/>
          </w:tcPr>
          <w:p w:rsidR="004A58EA" w:rsidRDefault="00D4284D" w:rsidP="004A58EA">
            <w:r>
              <w:lastRenderedPageBreak/>
              <w:t>Coefficient</w:t>
            </w:r>
          </w:p>
        </w:tc>
        <w:tc>
          <w:tcPr>
            <w:tcW w:w="2254" w:type="dxa"/>
          </w:tcPr>
          <w:p w:rsidR="004A58EA" w:rsidRDefault="004A58EA" w:rsidP="004A58EA">
            <w:r>
              <w:t>Estimate</w:t>
            </w:r>
          </w:p>
        </w:tc>
        <w:tc>
          <w:tcPr>
            <w:tcW w:w="2254" w:type="dxa"/>
          </w:tcPr>
          <w:p w:rsidR="004A58EA" w:rsidRDefault="004A58EA" w:rsidP="004A58EA">
            <w:r>
              <w:t>95% credible interval</w:t>
            </w:r>
          </w:p>
        </w:tc>
      </w:tr>
      <w:tr w:rsidR="004A58EA" w:rsidTr="004A58EA">
        <w:tc>
          <w:tcPr>
            <w:tcW w:w="2254" w:type="dxa"/>
          </w:tcPr>
          <w:p w:rsidR="004A58EA" w:rsidRDefault="004A58EA" w:rsidP="004A58EA">
            <m:oMathPara>
              <m:oMath>
                <m:r>
                  <w:rPr>
                    <w:rFonts w:ascii="Cambria Math" w:hAnsi="Cambria Math"/>
                  </w:rPr>
                  <m:t>τ</m:t>
                </m:r>
              </m:oMath>
            </m:oMathPara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 w:rsidRPr="00D4284D">
              <w:t>0.08573</w:t>
            </w:r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>
              <w:t xml:space="preserve">(0.04229, </w:t>
            </w:r>
            <w:r w:rsidRPr="00D4284D">
              <w:t>0.1967</w:t>
            </w:r>
            <w:r>
              <w:t>)</w:t>
            </w:r>
          </w:p>
        </w:tc>
      </w:tr>
      <w:tr w:rsidR="004A58EA" w:rsidTr="004A58EA">
        <w:tc>
          <w:tcPr>
            <w:tcW w:w="2254" w:type="dxa"/>
          </w:tcPr>
          <w:p w:rsidR="004A58EA" w:rsidRDefault="00E0292D" w:rsidP="004A58EA"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 w:rsidRPr="00D4284D">
              <w:t>0.07108</w:t>
            </w:r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>
              <w:t>(</w:t>
            </w:r>
            <w:r w:rsidRPr="00D4284D">
              <w:t>0.02295</w:t>
            </w:r>
            <w:r>
              <w:t xml:space="preserve">, </w:t>
            </w:r>
            <w:r w:rsidRPr="00D4284D">
              <w:t>0.1746</w:t>
            </w:r>
            <w:r>
              <w:t>)</w:t>
            </w:r>
          </w:p>
        </w:tc>
      </w:tr>
      <w:tr w:rsidR="004A58EA" w:rsidTr="004A58EA">
        <w:tc>
          <w:tcPr>
            <w:tcW w:w="2254" w:type="dxa"/>
          </w:tcPr>
          <w:p w:rsidR="004A58EA" w:rsidRDefault="00E0292D" w:rsidP="004A58EA"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α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 w:rsidRPr="00D4284D">
              <w:t>0.3021</w:t>
            </w:r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>
              <w:t>(</w:t>
            </w:r>
            <w:r w:rsidRPr="00D4284D">
              <w:t>0.1602</w:t>
            </w:r>
            <w:r>
              <w:t xml:space="preserve">, </w:t>
            </w:r>
            <w:r w:rsidRPr="00D4284D">
              <w:t>0.4751</w:t>
            </w:r>
            <w:r>
              <w:t>)</w:t>
            </w:r>
          </w:p>
        </w:tc>
      </w:tr>
      <w:tr w:rsidR="004A58EA" w:rsidTr="004A58EA">
        <w:tc>
          <w:tcPr>
            <w:tcW w:w="2254" w:type="dxa"/>
          </w:tcPr>
          <w:p w:rsidR="004A58EA" w:rsidRDefault="00E0292D" w:rsidP="004A58EA"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 w:rsidRPr="00D4284D">
              <w:t>2.65</w:t>
            </w:r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>
              <w:t xml:space="preserve">(1.273, </w:t>
            </w:r>
            <w:r w:rsidRPr="00D4284D">
              <w:t>5.174</w:t>
            </w:r>
            <w:r>
              <w:t>)</w:t>
            </w:r>
          </w:p>
        </w:tc>
      </w:tr>
      <w:tr w:rsidR="004A58EA" w:rsidTr="004A58EA">
        <w:tc>
          <w:tcPr>
            <w:tcW w:w="2254" w:type="dxa"/>
          </w:tcPr>
          <w:p w:rsidR="004A58EA" w:rsidRDefault="00E0292D" w:rsidP="004A58EA"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 w:rsidRPr="00D4284D">
              <w:t>-0.04733</w:t>
            </w:r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>
              <w:t xml:space="preserve">(-0.9017, </w:t>
            </w:r>
            <w:r w:rsidRPr="00D4284D">
              <w:t>1.405</w:t>
            </w:r>
            <w:r>
              <w:t>)</w:t>
            </w:r>
          </w:p>
        </w:tc>
      </w:tr>
      <w:tr w:rsidR="004A58EA" w:rsidTr="004A58EA">
        <w:tc>
          <w:tcPr>
            <w:tcW w:w="2254" w:type="dxa"/>
          </w:tcPr>
          <w:p w:rsidR="004A58EA" w:rsidRDefault="00E0292D" w:rsidP="004A58EA"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</m:oMath>
            </m:oMathPara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 w:rsidRPr="00D4284D">
              <w:t>0.6757</w:t>
            </w:r>
          </w:p>
        </w:tc>
        <w:tc>
          <w:tcPr>
            <w:tcW w:w="2254" w:type="dxa"/>
          </w:tcPr>
          <w:p w:rsidR="004A58EA" w:rsidRDefault="00D4284D" w:rsidP="00D4284D">
            <w:pPr>
              <w:jc w:val="center"/>
            </w:pPr>
            <w:r>
              <w:t xml:space="preserve">(0.06286, </w:t>
            </w:r>
            <w:r w:rsidRPr="00D4284D">
              <w:t>1.582</w:t>
            </w:r>
            <w:r>
              <w:t>)</w:t>
            </w:r>
          </w:p>
        </w:tc>
      </w:tr>
    </w:tbl>
    <w:p w:rsidR="00F234D2" w:rsidRDefault="00F234D2" w:rsidP="00D44E8F">
      <w:pPr>
        <w:pStyle w:val="EndNoteBibliography"/>
      </w:pPr>
    </w:p>
    <w:p w:rsidR="00F234D2" w:rsidRPr="00197F36" w:rsidRDefault="00197F36" w:rsidP="00D44E8F">
      <w:pPr>
        <w:pStyle w:val="EndNoteBibliography"/>
        <w:rPr>
          <w:i/>
        </w:rPr>
      </w:pPr>
      <w:r w:rsidRPr="00197F36">
        <w:rPr>
          <w:i/>
        </w:rPr>
        <w:t>Microscopy data</w:t>
      </w:r>
    </w:p>
    <w:p w:rsidR="00194E34" w:rsidRDefault="009C5081" w:rsidP="00D44E8F">
      <w:pPr>
        <w:pStyle w:val="EndNoteBibliography"/>
      </w:pPr>
      <w:r>
        <w:t>T</w:t>
      </w:r>
      <w:r w:rsidR="00204922">
        <w:t xml:space="preserve">he </w:t>
      </w:r>
      <w:r w:rsidR="00204922" w:rsidRPr="00204922">
        <w:t xml:space="preserve">performance of models including both </w:t>
      </w:r>
      <w:r w:rsidR="00D97855">
        <w:t>qRT-</w:t>
      </w:r>
      <w:r w:rsidR="00204922" w:rsidRPr="00204922">
        <w:t>PCR and microscopy in the same model</w:t>
      </w:r>
      <w:r>
        <w:t xml:space="preserve"> are investigated</w:t>
      </w:r>
      <w:r w:rsidR="00204922">
        <w:t>.</w:t>
      </w:r>
      <w:r w:rsidR="004038D7">
        <w:t xml:space="preserve"> This is to determine whether there is value in combining gametocyte density estimates collected with different methodologies as additional information may be added by the less precise </w:t>
      </w:r>
      <w:r w:rsidR="00AA04D4">
        <w:t>diagnostic</w:t>
      </w:r>
      <w:r w:rsidR="004038D7">
        <w:t>. These data could be combined using a fully Bayesian</w:t>
      </w:r>
      <w:r w:rsidR="00AA04D4">
        <w:t xml:space="preserve"> method, </w:t>
      </w:r>
      <w:r w:rsidR="004038D7">
        <w:t xml:space="preserve">taking into account the number of gametocytes counted and </w:t>
      </w:r>
      <w:r w:rsidR="00AA04D4">
        <w:t>the quantity of blood examined. However, these non-standard analytical methods are unlikely to be used in field or laboratory settings so combined density estimates, generated by both</w:t>
      </w:r>
      <w:r w:rsidR="004038D7">
        <w:t xml:space="preserve"> </w:t>
      </w:r>
      <w:r w:rsidR="00AA04D4">
        <w:t>qRT-PCR and microscopy, are calculated by taking the mean of both estimates (</w:t>
      </w:r>
      <w:r w:rsidR="00194E34">
        <w:t xml:space="preserve">i.e. </w:t>
      </w:r>
      <w:r w:rsidR="00AA04D4">
        <w:t>assuming both diagnostics have equal weight</w:t>
      </w:r>
      <w:r w:rsidR="00194E34">
        <w:t xml:space="preserve"> for the overall estimate</w:t>
      </w:r>
      <w:r w:rsidR="00AA04D4">
        <w:t>).</w:t>
      </w:r>
      <w:r w:rsidR="00204922">
        <w:t xml:space="preserve"> </w:t>
      </w:r>
    </w:p>
    <w:p w:rsidR="00197F36" w:rsidRDefault="00AA04D4" w:rsidP="00D44E8F">
      <w:pPr>
        <w:pStyle w:val="EndNoteBibliography"/>
      </w:pPr>
      <w:r>
        <w:t>The methods outlined in the main text allows</w:t>
      </w:r>
      <w:r w:rsidR="00204922">
        <w:t xml:space="preserve"> </w:t>
      </w:r>
      <w:r>
        <w:t xml:space="preserve">the uncertainty in the </w:t>
      </w:r>
      <w:r w:rsidR="00D97855">
        <w:t>qRT-</w:t>
      </w:r>
      <w:r w:rsidR="00204922">
        <w:t xml:space="preserve">PCR estimates </w:t>
      </w:r>
      <w:r>
        <w:t>to</w:t>
      </w:r>
      <w:r w:rsidR="00204922">
        <w:t xml:space="preserve"> be incorporated into a </w:t>
      </w:r>
      <w:r>
        <w:t xml:space="preserve">Bayesian </w:t>
      </w:r>
      <w:r w:rsidR="00204922">
        <w:t>model</w:t>
      </w:r>
      <w:r>
        <w:t xml:space="preserve">. </w:t>
      </w:r>
      <w:r w:rsidR="00194E34">
        <w:t>Only point estimates are availible f</w:t>
      </w:r>
      <w:r>
        <w:t xml:space="preserve">or </w:t>
      </w:r>
      <w:r w:rsidR="00204922">
        <w:t xml:space="preserve">microscopy </w:t>
      </w:r>
      <w:r>
        <w:t>so the models are fit using</w:t>
      </w:r>
      <w:r w:rsidR="00204922">
        <w:t xml:space="preserve"> using least squares</w:t>
      </w:r>
      <w:r>
        <w:t xml:space="preserve"> methodology and compared with</w:t>
      </w:r>
      <w:r w:rsidR="004C14B1">
        <w:t xml:space="preserve"> the </w:t>
      </w:r>
      <w:r w:rsidR="004C14B1" w:rsidRPr="004C14B1">
        <w:t>R-squared (</w:t>
      </w:r>
      <w:r w:rsidR="004C14B1" w:rsidRPr="004852F4">
        <w:rPr>
          <w:i/>
        </w:rPr>
        <w:t>R</w:t>
      </w:r>
      <w:r w:rsidR="004C14B1" w:rsidRPr="004852F4">
        <w:rPr>
          <w:i/>
          <w:vertAlign w:val="superscript"/>
        </w:rPr>
        <w:t>2</w:t>
      </w:r>
      <w:r w:rsidR="004C14B1" w:rsidRPr="004C14B1">
        <w:t>) statistic</w:t>
      </w:r>
      <w:r w:rsidR="00204922">
        <w:t xml:space="preserve">. </w:t>
      </w:r>
      <w:r w:rsidR="00194E34">
        <w:t xml:space="preserve">Microscopy detects both female and male gametocytes (though they are not easy to sex) so microscopy data is combined with total gametocyte density by qRT-PCR. </w:t>
      </w:r>
      <w:r w:rsidR="004C14B1">
        <w:t>T</w:t>
      </w:r>
      <w:r w:rsidR="00FD5926">
        <w:t>he power</w:t>
      </w:r>
      <w:r w:rsidR="004C14B1">
        <w:t xml:space="preserve"> function was used for all models reflecting the </w:t>
      </w:r>
      <w:r w:rsidR="00FD5926">
        <w:t>best fit</w:t>
      </w:r>
      <w:r w:rsidR="004C14B1">
        <w:t xml:space="preserve"> of the qRT-PCR outlined</w:t>
      </w:r>
      <w:r w:rsidR="00FD5926">
        <w:t xml:space="preserve"> above.</w:t>
      </w:r>
    </w:p>
    <w:p w:rsidR="00670D31" w:rsidRDefault="00670D31" w:rsidP="00D44E8F">
      <w:pPr>
        <w:pStyle w:val="EndNoteBibliography"/>
      </w:pPr>
      <w:r>
        <w:t xml:space="preserve">The amount of variarion explained </w:t>
      </w:r>
      <w:r w:rsidR="008F0D77">
        <w:t xml:space="preserve">by each of the models is outlined below. Model accuracy </w:t>
      </w:r>
      <w:r>
        <w:t xml:space="preserve">was similar in all models, altough </w:t>
      </w:r>
      <w:r w:rsidR="00D97855">
        <w:rPr>
          <w:color w:val="000000"/>
          <w:shd w:val="clear" w:color="auto" w:fill="FFFFFF"/>
        </w:rPr>
        <w:t>qRT-PCR</w:t>
      </w:r>
      <w:r w:rsidR="00D97855">
        <w:t xml:space="preserve"> </w:t>
      </w:r>
      <w:r>
        <w:t>methods performed slightly better than microscopy</w:t>
      </w:r>
      <w:r w:rsidR="008F0D77">
        <w:t xml:space="preserve"> alone or </w:t>
      </w:r>
      <w:r w:rsidR="00293ABF">
        <w:t>when it was combined</w:t>
      </w:r>
      <w:r w:rsidR="008F0D77">
        <w:t xml:space="preserve"> with </w:t>
      </w:r>
      <w:r w:rsidR="008F0D77">
        <w:rPr>
          <w:color w:val="000000"/>
          <w:shd w:val="clear" w:color="auto" w:fill="FFFFFF"/>
        </w:rPr>
        <w:t>qRT-PCR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1701"/>
      </w:tblGrid>
      <w:tr w:rsidR="00CC38AA" w:rsidTr="00585C26">
        <w:tc>
          <w:tcPr>
            <w:tcW w:w="4531" w:type="dxa"/>
          </w:tcPr>
          <w:p w:rsidR="00CC38AA" w:rsidRPr="004852F4" w:rsidRDefault="004C14B1" w:rsidP="00D44E8F">
            <w:pPr>
              <w:pStyle w:val="EndNoteBibliography"/>
              <w:rPr>
                <w:b/>
              </w:rPr>
            </w:pPr>
            <w:r w:rsidRPr="004852F4">
              <w:rPr>
                <w:b/>
              </w:rPr>
              <w:t>Oocyst prevalence dependent on</w:t>
            </w:r>
            <w:r w:rsidR="00293ABF">
              <w:rPr>
                <w:b/>
              </w:rPr>
              <w:t>:</w:t>
            </w:r>
            <w:r w:rsidRPr="004852F4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CC38AA" w:rsidRPr="004852F4" w:rsidRDefault="00585C26" w:rsidP="007F48A7">
            <w:pPr>
              <w:pStyle w:val="EndNoteBibliography"/>
              <w:jc w:val="center"/>
              <w:rPr>
                <w:b/>
                <w:i/>
              </w:rPr>
            </w:pPr>
            <w:r w:rsidRPr="004852F4">
              <w:rPr>
                <w:b/>
                <w:i/>
              </w:rPr>
              <w:t>R</w:t>
            </w:r>
            <w:r w:rsidRPr="004852F4">
              <w:rPr>
                <w:b/>
                <w:i/>
                <w:vertAlign w:val="superscript"/>
              </w:rPr>
              <w:t>2</w:t>
            </w:r>
          </w:p>
        </w:tc>
      </w:tr>
      <w:tr w:rsidR="00CC38AA" w:rsidTr="00585C26">
        <w:tc>
          <w:tcPr>
            <w:tcW w:w="4531" w:type="dxa"/>
          </w:tcPr>
          <w:p w:rsidR="00CC38AA" w:rsidRDefault="00585C26" w:rsidP="00D44E8F">
            <w:pPr>
              <w:pStyle w:val="EndNoteBibliography"/>
            </w:pPr>
            <w:r>
              <w:t>Total gametocyte density by PCR</w:t>
            </w:r>
          </w:p>
        </w:tc>
        <w:tc>
          <w:tcPr>
            <w:tcW w:w="1701" w:type="dxa"/>
          </w:tcPr>
          <w:p w:rsidR="00CC38AA" w:rsidRDefault="00817543" w:rsidP="00817543">
            <w:pPr>
              <w:pStyle w:val="EndNoteBibliography"/>
              <w:jc w:val="center"/>
            </w:pPr>
            <w:r>
              <w:t>0.71</w:t>
            </w:r>
          </w:p>
        </w:tc>
      </w:tr>
      <w:tr w:rsidR="00CC38AA" w:rsidTr="00585C26">
        <w:tc>
          <w:tcPr>
            <w:tcW w:w="4531" w:type="dxa"/>
          </w:tcPr>
          <w:p w:rsidR="00CC38AA" w:rsidRDefault="00585C26" w:rsidP="00D44E8F">
            <w:pPr>
              <w:pStyle w:val="EndNoteBibliography"/>
            </w:pPr>
            <w:r>
              <w:t>Total gametocyte density by microscopy</w:t>
            </w:r>
          </w:p>
        </w:tc>
        <w:tc>
          <w:tcPr>
            <w:tcW w:w="1701" w:type="dxa"/>
          </w:tcPr>
          <w:p w:rsidR="00CC38AA" w:rsidRDefault="00817543" w:rsidP="00817543">
            <w:pPr>
              <w:pStyle w:val="EndNoteBibliography"/>
              <w:jc w:val="center"/>
            </w:pPr>
            <w:r>
              <w:t>0.61</w:t>
            </w:r>
          </w:p>
        </w:tc>
      </w:tr>
      <w:tr w:rsidR="00CC38AA" w:rsidTr="00585C26">
        <w:tc>
          <w:tcPr>
            <w:tcW w:w="4531" w:type="dxa"/>
          </w:tcPr>
          <w:p w:rsidR="00CC38AA" w:rsidRDefault="00293ABF" w:rsidP="00D44E8F">
            <w:pPr>
              <w:pStyle w:val="EndNoteBibliography"/>
            </w:pPr>
            <w:r>
              <w:t xml:space="preserve">Mean </w:t>
            </w:r>
            <w:r w:rsidR="00585C26">
              <w:t xml:space="preserve">of total gametocyte density by PCR and total gametocyte density by microscopy  </w:t>
            </w:r>
          </w:p>
        </w:tc>
        <w:tc>
          <w:tcPr>
            <w:tcW w:w="1701" w:type="dxa"/>
          </w:tcPr>
          <w:p w:rsidR="00CC38AA" w:rsidRDefault="00817543" w:rsidP="00817543">
            <w:pPr>
              <w:pStyle w:val="EndNoteBibliography"/>
              <w:jc w:val="center"/>
            </w:pPr>
            <w:r>
              <w:t>0.67</w:t>
            </w:r>
          </w:p>
        </w:tc>
      </w:tr>
    </w:tbl>
    <w:p w:rsidR="00CC38AA" w:rsidRDefault="00CC38AA" w:rsidP="00D44E8F">
      <w:pPr>
        <w:pStyle w:val="EndNoteBibliography"/>
      </w:pPr>
    </w:p>
    <w:p w:rsidR="00204922" w:rsidRDefault="00204922" w:rsidP="00D44E8F">
      <w:pPr>
        <w:pStyle w:val="EndNoteBibliography"/>
      </w:pPr>
    </w:p>
    <w:p w:rsidR="00204922" w:rsidRDefault="00204922" w:rsidP="00D44E8F">
      <w:pPr>
        <w:pStyle w:val="EndNoteBibliography"/>
      </w:pPr>
    </w:p>
    <w:p w:rsidR="00D44E8F" w:rsidRPr="00D44E8F" w:rsidRDefault="00D44E8F" w:rsidP="00D44E8F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D44E8F">
        <w:t>1.</w:t>
      </w:r>
      <w:r w:rsidRPr="00D44E8F">
        <w:tab/>
        <w:t>Churcher TS, Bousema T, Walker M, Drakeley C, Schneider P, Ouedraogo AL, et al. Predicting mosquito infection from Plasmodium falciparum gametocyte density and estimating the reservoir of infection. Elife. 2013;2:e00626.</w:t>
      </w:r>
    </w:p>
    <w:p w:rsidR="00D44E8F" w:rsidRDefault="00D44E8F">
      <w:r>
        <w:fldChar w:fldCharType="end"/>
      </w:r>
    </w:p>
    <w:sectPr w:rsidR="00D44E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a9epatsw0xz2iepp9ix2dpp29s22zp5s5vs&quot;&gt;My EndNote Library&lt;record-ids&gt;&lt;item&gt;1&lt;/item&gt;&lt;/record-ids&gt;&lt;/item&gt;&lt;/Libraries&gt;"/>
  </w:docVars>
  <w:rsids>
    <w:rsidRoot w:val="00D44E8F"/>
    <w:rsid w:val="00003575"/>
    <w:rsid w:val="0006411E"/>
    <w:rsid w:val="000A37CD"/>
    <w:rsid w:val="000D4196"/>
    <w:rsid w:val="0010243B"/>
    <w:rsid w:val="001256FE"/>
    <w:rsid w:val="0014406F"/>
    <w:rsid w:val="00154E59"/>
    <w:rsid w:val="00194E34"/>
    <w:rsid w:val="00197F36"/>
    <w:rsid w:val="00204922"/>
    <w:rsid w:val="002432F9"/>
    <w:rsid w:val="00293ABF"/>
    <w:rsid w:val="00377CD4"/>
    <w:rsid w:val="00380D68"/>
    <w:rsid w:val="004038D7"/>
    <w:rsid w:val="004852F4"/>
    <w:rsid w:val="00496E0A"/>
    <w:rsid w:val="004A131E"/>
    <w:rsid w:val="004A58EA"/>
    <w:rsid w:val="004B578E"/>
    <w:rsid w:val="004C14B1"/>
    <w:rsid w:val="00537553"/>
    <w:rsid w:val="00585C26"/>
    <w:rsid w:val="005D5477"/>
    <w:rsid w:val="00620F60"/>
    <w:rsid w:val="00670D31"/>
    <w:rsid w:val="006B0501"/>
    <w:rsid w:val="007461CC"/>
    <w:rsid w:val="00772265"/>
    <w:rsid w:val="00775971"/>
    <w:rsid w:val="007F48A7"/>
    <w:rsid w:val="00807898"/>
    <w:rsid w:val="00817543"/>
    <w:rsid w:val="00835C85"/>
    <w:rsid w:val="008A3289"/>
    <w:rsid w:val="008F0D77"/>
    <w:rsid w:val="0093073F"/>
    <w:rsid w:val="00982751"/>
    <w:rsid w:val="0099137B"/>
    <w:rsid w:val="009C5081"/>
    <w:rsid w:val="009D1308"/>
    <w:rsid w:val="00A00A5D"/>
    <w:rsid w:val="00A13C40"/>
    <w:rsid w:val="00A2337E"/>
    <w:rsid w:val="00A747D5"/>
    <w:rsid w:val="00AA04D4"/>
    <w:rsid w:val="00B11E2C"/>
    <w:rsid w:val="00B87AC9"/>
    <w:rsid w:val="00BB0DF0"/>
    <w:rsid w:val="00BD5D0D"/>
    <w:rsid w:val="00BF4721"/>
    <w:rsid w:val="00CA2D98"/>
    <w:rsid w:val="00CA7DE5"/>
    <w:rsid w:val="00CB39D7"/>
    <w:rsid w:val="00CC38AA"/>
    <w:rsid w:val="00D4284D"/>
    <w:rsid w:val="00D44E8F"/>
    <w:rsid w:val="00D97855"/>
    <w:rsid w:val="00DB295B"/>
    <w:rsid w:val="00E0292D"/>
    <w:rsid w:val="00E64208"/>
    <w:rsid w:val="00E65907"/>
    <w:rsid w:val="00E865CA"/>
    <w:rsid w:val="00EE6EC4"/>
    <w:rsid w:val="00F234D2"/>
    <w:rsid w:val="00FD28BF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7FF954-6AF3-4435-8EC2-6FFC9144E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D44E8F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44E8F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44E8F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D44E8F"/>
    <w:rPr>
      <w:rFonts w:ascii="Calibri" w:hAnsi="Calibri"/>
      <w:noProof/>
      <w:lang w:val="en-US"/>
    </w:rPr>
  </w:style>
  <w:style w:type="table" w:styleId="TableGrid">
    <w:name w:val="Table Grid"/>
    <w:basedOn w:val="TableNormal"/>
    <w:uiPriority w:val="39"/>
    <w:rsid w:val="005D54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F472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865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65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65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65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65C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1046</Words>
  <Characters>5691</Characters>
  <Application>Microsoft Office Word</Application>
  <DocSecurity>0</DocSecurity>
  <Lines>116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Hygiene &amp; Tropical Medicine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Bradley</dc:creator>
  <cp:keywords/>
  <dc:description/>
  <cp:lastModifiedBy> </cp:lastModifiedBy>
  <cp:revision>2</cp:revision>
  <dcterms:created xsi:type="dcterms:W3CDTF">2018-05-08T11:13:00Z</dcterms:created>
  <dcterms:modified xsi:type="dcterms:W3CDTF">2018-05-08T11:13:00Z</dcterms:modified>
</cp:coreProperties>
</file>