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w:t>
      </w:r>
      <w:bookmarkStart w:id="0" w:name="_GoBack"/>
      <w:bookmarkEnd w:id="0"/>
      <w:r w:rsidR="009205E9" w:rsidRPr="00505C51">
        <w:rPr>
          <w:rFonts w:asciiTheme="minorHAnsi" w:hAnsiTheme="minorHAnsi"/>
          <w:sz w:val="22"/>
          <w:szCs w:val="22"/>
        </w:rPr>
        <w:t>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9894529" w14:textId="77777777" w:rsidR="005032C2" w:rsidRDefault="005032C2" w:rsidP="005032C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óXˇøÂ'91Â'1" w:hAnsi="'óXˇøÂ'91Â'1" w:cs="'óXˇøÂ'91Â'1"/>
          <w:sz w:val="23"/>
          <w:szCs w:val="23"/>
        </w:rPr>
      </w:pPr>
      <w:r>
        <w:rPr>
          <w:rFonts w:ascii="'óXˇøÂ'91Â'1" w:hAnsi="'óXˇøÂ'91Â'1" w:cs="'óXˇøÂ'91Â'1"/>
          <w:sz w:val="23"/>
          <w:szCs w:val="23"/>
        </w:rPr>
        <w:t>No statistical method was used to predetermine sample size. At least 3 mice/genotype were used to ensure adequate statistical power analysis. LFPs were analyzed from 64 units/genotype. Sample size was increased to at least 10 mice/genotype for behavioral experiments. Using G power these sample sizes were determined to be adequate given the effect size and study design</w:t>
      </w:r>
      <w:r>
        <w:rPr>
          <w:rFonts w:ascii="'óXˇøÂ'91Â'1" w:hAnsi="'óXˇøÂ'91Â'1" w:cs="'óXˇøÂ'91Â'1"/>
          <w:sz w:val="23"/>
          <w:szCs w:val="23"/>
        </w:rPr>
        <w:fldChar w:fldCharType="begin"/>
      </w:r>
      <w:r>
        <w:rPr>
          <w:rFonts w:ascii="'óXˇøÂ'91Â'1" w:hAnsi="'óXˇøÂ'91Â'1" w:cs="'óXˇøÂ'91Â'1"/>
          <w:sz w:val="23"/>
          <w:szCs w:val="23"/>
        </w:rPr>
        <w:instrText xml:space="preserve"> ADDIN PAPERS2_CITATIONS &lt;citation&gt;&lt;uuid&gt;BED0FFA9-F66F-42A2-BCF4-06DD9A0121B7&lt;/uuid&gt;&lt;priority&gt;0&lt;/priority&gt;&lt;publications&gt;&lt;publication&gt;&lt;type&gt;400&lt;/type&gt;&lt;publication_date&gt;99200700001200000000200000&lt;/publication_date&gt;&lt;title&gt;G* Power 3: A flexible statistical power analysis program for the social, behavioral, and biomedical sciences&lt;/title&gt;&lt;url&gt;http://link.springer.com/article/10.3758/BF03193146&lt;/url&gt;&lt;subtype&gt;400&lt;/subtype&gt;&lt;uuid&gt;B6A5BB70-7315-40E4-850D-007A28755B7A&lt;/uuid&gt;&lt;bundle&gt;&lt;publication&gt;&lt;title&gt;Behavior research methods&lt;/title&gt;&lt;type&gt;-100&lt;/type&gt;&lt;subtype&gt;-100&lt;/subtype&gt;&lt;uuid&gt;D939EEE1-A366-4C1C-91C8-9D6183145F76&lt;/uuid&gt;&lt;/publication&gt;&lt;/bundle&gt;&lt;authors&gt;&lt;author&gt;&lt;firstName&gt;F&lt;/firstName&gt;&lt;lastName&gt;Faul&lt;/lastName&gt;&lt;/author&gt;&lt;author&gt;&lt;firstName&gt;E&lt;/firstName&gt;&lt;lastName&gt;Erdfelder&lt;/lastName&gt;&lt;/author&gt;&lt;author&gt;&lt;firstName&gt;A&lt;/firstName&gt;&lt;middleNames&gt;G&lt;/middleNames&gt;&lt;lastName&gt;Lang&lt;/lastName&gt;&lt;/author&gt;&lt;author&gt;&lt;firstName&gt;A&lt;/firstName&gt;&lt;lastName&gt;Buchner&lt;/lastName&gt;&lt;/author&gt;&lt;/authors&gt;&lt;/publication&gt;&lt;/publications&gt;&lt;cites&gt;&lt;/cites&gt;&lt;/citation&gt;</w:instrText>
      </w:r>
      <w:r>
        <w:rPr>
          <w:rFonts w:ascii="'óXˇøÂ'91Â'1" w:hAnsi="'óXˇøÂ'91Â'1" w:cs="'óXˇøÂ'91Â'1"/>
          <w:sz w:val="23"/>
          <w:szCs w:val="23"/>
        </w:rPr>
        <w:fldChar w:fldCharType="separate"/>
      </w:r>
      <w:r>
        <w:rPr>
          <w:rFonts w:ascii="Helvetica" w:hAnsi="Helvetica" w:cs="Helvetica"/>
          <w:vertAlign w:val="superscript"/>
        </w:rPr>
        <w:t>1</w:t>
      </w:r>
      <w:r>
        <w:rPr>
          <w:rFonts w:ascii="'óXˇøÂ'91Â'1" w:hAnsi="'óXˇøÂ'91Â'1" w:cs="'óXˇøÂ'91Â'1"/>
          <w:sz w:val="23"/>
          <w:szCs w:val="23"/>
        </w:rPr>
        <w:fldChar w:fldCharType="end"/>
      </w:r>
      <w:r>
        <w:rPr>
          <w:rFonts w:ascii="'óXˇøÂ'91Â'1" w:hAnsi="'óXˇøÂ'91Â'1" w:cs="'óXˇøÂ'91Â'1"/>
          <w:sz w:val="23"/>
          <w:szCs w:val="23"/>
        </w:rPr>
        <w:t xml:space="preserve">. Sample size is cited within the figure legends for all studies. </w:t>
      </w:r>
    </w:p>
    <w:p w14:paraId="32A3AF29" w14:textId="77777777" w:rsidR="005032C2" w:rsidRDefault="005032C2" w:rsidP="005032C2">
      <w:pPr>
        <w:framePr w:w="7817" w:h="1088" w:hSpace="180" w:wrap="around" w:vAnchor="text" w:hAnchor="page" w:x="1858" w:y="1"/>
        <w:widowControl w:val="0"/>
        <w:pBdr>
          <w:top w:val="single" w:sz="6" w:space="1" w:color="auto"/>
          <w:left w:val="single" w:sz="6" w:space="1" w:color="auto"/>
          <w:bottom w:val="single" w:sz="6" w:space="1" w:color="auto"/>
          <w:right w:val="single" w:sz="6" w:space="1" w:color="auto"/>
        </w:pBdr>
        <w:tabs>
          <w:tab w:val="left" w:pos="480"/>
        </w:tabs>
        <w:autoSpaceDE w:val="0"/>
        <w:autoSpaceDN w:val="0"/>
        <w:adjustRightInd w:val="0"/>
        <w:ind w:left="480" w:hanging="480"/>
        <w:rPr>
          <w:rFonts w:cs="Cambria"/>
        </w:rPr>
      </w:pPr>
      <w:r>
        <w:rPr>
          <w:rFonts w:cs="Cambria"/>
        </w:rPr>
        <w:t>1.</w:t>
      </w:r>
      <w:r>
        <w:rPr>
          <w:rFonts w:cs="Cambria"/>
        </w:rPr>
        <w:tab/>
      </w:r>
      <w:proofErr w:type="spellStart"/>
      <w:r>
        <w:rPr>
          <w:rFonts w:cs="Cambria"/>
        </w:rPr>
        <w:t>Faul</w:t>
      </w:r>
      <w:proofErr w:type="spellEnd"/>
      <w:r>
        <w:rPr>
          <w:rFonts w:cs="Cambria"/>
        </w:rPr>
        <w:t xml:space="preserve">, F., </w:t>
      </w:r>
      <w:proofErr w:type="spellStart"/>
      <w:r>
        <w:rPr>
          <w:rFonts w:cs="Cambria"/>
        </w:rPr>
        <w:t>Erdfelder</w:t>
      </w:r>
      <w:proofErr w:type="spellEnd"/>
      <w:r>
        <w:rPr>
          <w:rFonts w:cs="Cambria"/>
        </w:rPr>
        <w:t xml:space="preserve">, E., Lang, A. G. &amp; Buchner, A. G* Power 3: A flexible statistical power analysis program for the social, behavioral, and biomedical sciences. </w:t>
      </w:r>
      <w:r>
        <w:rPr>
          <w:rFonts w:cs="Cambria"/>
          <w:i/>
          <w:iCs/>
        </w:rPr>
        <w:t>Behavior research methods</w:t>
      </w:r>
      <w:r>
        <w:rPr>
          <w:rFonts w:cs="Cambria"/>
        </w:rPr>
        <w:t xml:space="preserve"> (2007).</w:t>
      </w:r>
    </w:p>
    <w:p w14:paraId="283305D7" w14:textId="77777777" w:rsidR="00877644" w:rsidRPr="00125190"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6B83CD1C" w14:textId="77777777" w:rsidR="005032C2" w:rsidRDefault="005032C2" w:rsidP="005032C2">
      <w:pPr>
        <w:framePr w:w="7817" w:h="1088" w:hSpace="180" w:wrap="around" w:vAnchor="text" w:hAnchor="page" w:x="1858" w:y="1"/>
        <w:pBdr>
          <w:top w:val="single" w:sz="6" w:space="1" w:color="auto"/>
          <w:left w:val="single" w:sz="6" w:space="1" w:color="auto"/>
          <w:bottom w:val="single" w:sz="6" w:space="1" w:color="auto"/>
          <w:right w:val="single" w:sz="6" w:space="1" w:color="auto"/>
        </w:pBdr>
      </w:pPr>
      <w:r>
        <w:lastRenderedPageBreak/>
        <w:t xml:space="preserve">Biological replicates are reflected in the number of mice used per experiment for histological analysis and behavioral experiments. Each LFP recording electrode unit was considered a biological replicate. To ensure adequate estimation of cellular numbers per mouse, histological analysis was repeated on at least 3 sections per mouse as technical replicates. Light sheet and confocal imaging were used as complementary techniques to quantify cell number and they were remarkably consistent.  For behavioral experiments, one cohort of mice was tested at 9 months and another cohort of mice was tested at 3 months. The tests were performed in the same order and not repeated on any mouse. An additional cohort was utilized for olfactory behavior analysis. Outliers were not identified in any analysis and no data was excluded. </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25DB3ED2" w14:textId="77777777" w:rsidR="005032C2" w:rsidRDefault="005032C2" w:rsidP="005032C2">
      <w:pPr>
        <w:framePr w:w="7817" w:h="1088" w:hSpace="180" w:wrap="around" w:vAnchor="text" w:hAnchor="page" w:x="1904" w:y="21"/>
        <w:pBdr>
          <w:top w:val="single" w:sz="6" w:space="1" w:color="auto"/>
          <w:left w:val="single" w:sz="6" w:space="1" w:color="auto"/>
          <w:bottom w:val="single" w:sz="6" w:space="1" w:color="auto"/>
          <w:right w:val="single" w:sz="6" w:space="1" w:color="auto"/>
        </w:pBdr>
      </w:pPr>
      <w:r>
        <w:t>Statistical analysis methods are located in the methods section. For histological analysis and behavioral experiments the data was determined to be parametric. For studies with greater than two comparisons, we utilized a multivariate ANOVA or repeated-measures ANOVA to determine differences between genotypes and different ages or brain regions, respectively. Post-hoc analysis was performed with Sidak’s multiple comparison test. A student’s T-Test was used to determine differences between two groups. The LFP analysis did not yield parametric data. To compare LFP power between genotypes, we utilized Mann-Whitney U-test with false discovery rate correction for multiple comparisons</w:t>
      </w:r>
      <w:r>
        <w:fldChar w:fldCharType="begin"/>
      </w:r>
      <w:r>
        <w:instrText xml:space="preserve"> ADDIN PAPERS2_CITATIONS &lt;citation&gt;&lt;uuid&gt;FC0D643E-8551-446D-BABD-E76590B830F9&lt;/uuid&gt;&lt;priority&gt;1&lt;/priority&gt;&lt;publications&gt;&lt;publication&gt;&lt;volume&gt;279&lt;/volume&gt;&lt;publication_date&gt;99200000001200000000200000&lt;/publication_date&gt;&lt;number&gt;1&lt;/number&gt;&lt;startpage&gt;R1&lt;/startpage&gt;&lt;title&gt;Multiple comparisons: philosophies and illustrations&lt;/title&gt;&lt;uuid&gt;6CCE495D-0C69-4279-B81C-3ACD5AB86EE5&lt;/uuid&gt;&lt;subtype&gt;400&lt;/subtype&gt;&lt;publisher&gt;Am Physiological Soc&lt;/publisher&gt;&lt;type&gt;400&lt;/type&gt;&lt;endpage&gt;R8&lt;/endpage&gt;&lt;url&gt;http://ajpregu.physiology.org/content/279/1/R1.short&lt;/url&gt;&lt;bundle&gt;&lt;publication&gt;&lt;title&gt;American Journal of Physiology-Regulatory, Integrative and Comparative Physiology&lt;/title&gt;&lt;type&gt;-100&lt;/type&gt;&lt;subtype&gt;-100&lt;/subtype&gt;&lt;uuid&gt;2BE8A5F2-0EE3-40B2-9C3F-20BFD960F70A&lt;/uuid&gt;&lt;/publication&gt;&lt;/bundle&gt;&lt;authors&gt;&lt;author&gt;&lt;firstName&gt;Douglas&lt;/firstName&gt;&lt;lastName&gt;Curran-Everett&lt;/lastName&gt;&lt;/author&gt;&lt;/authors&gt;&lt;/publication&gt;&lt;/publications&gt;&lt;cites&gt;&lt;/cites&gt;&lt;/citation&gt;</w:instrText>
      </w:r>
      <w:r>
        <w:fldChar w:fldCharType="separate"/>
      </w:r>
      <w:r>
        <w:rPr>
          <w:rFonts w:cs="Cambria"/>
          <w:vertAlign w:val="superscript"/>
        </w:rPr>
        <w:t>2</w:t>
      </w:r>
      <w:r>
        <w:fldChar w:fldCharType="end"/>
      </w:r>
      <w:r>
        <w:t xml:space="preserve">. p-values are reported in the figure legends. P-values greater then p&gt;0.01 are reported as exact values. </w:t>
      </w:r>
    </w:p>
    <w:p w14:paraId="60C95AA4" w14:textId="77777777" w:rsidR="005032C2" w:rsidRDefault="005032C2" w:rsidP="005032C2">
      <w:pPr>
        <w:framePr w:w="7817" w:h="1088" w:hSpace="180" w:wrap="around" w:vAnchor="text" w:hAnchor="page" w:x="1904" w:y="21"/>
        <w:widowControl w:val="0"/>
        <w:pBdr>
          <w:top w:val="single" w:sz="6" w:space="1" w:color="auto"/>
          <w:left w:val="single" w:sz="6" w:space="1" w:color="auto"/>
          <w:bottom w:val="single" w:sz="6" w:space="1" w:color="auto"/>
          <w:right w:val="single" w:sz="6" w:space="1" w:color="auto"/>
        </w:pBdr>
        <w:tabs>
          <w:tab w:val="left" w:pos="480"/>
        </w:tabs>
        <w:autoSpaceDE w:val="0"/>
        <w:autoSpaceDN w:val="0"/>
        <w:adjustRightInd w:val="0"/>
        <w:ind w:left="480" w:hanging="480"/>
        <w:rPr>
          <w:rFonts w:cs="Cambria"/>
        </w:rPr>
      </w:pPr>
      <w:r>
        <w:rPr>
          <w:rFonts w:cs="Cambria"/>
        </w:rPr>
        <w:t>2.</w:t>
      </w:r>
      <w:r>
        <w:rPr>
          <w:rFonts w:cs="Cambria"/>
        </w:rPr>
        <w:tab/>
        <w:t xml:space="preserve">Curran-Everett, D. Multiple comparisons: philosophies and illustrations. </w:t>
      </w:r>
      <w:r>
        <w:rPr>
          <w:rFonts w:cs="Cambria"/>
          <w:i/>
          <w:iCs/>
        </w:rPr>
        <w:t>American Journal of Physiology-Regulatory, Integrative and Comparative Physiology</w:t>
      </w:r>
      <w:r>
        <w:rPr>
          <w:rFonts w:cs="Cambria"/>
        </w:rPr>
        <w:t xml:space="preserve"> </w:t>
      </w:r>
      <w:r>
        <w:rPr>
          <w:rFonts w:cs="Cambria"/>
          <w:b/>
          <w:bCs/>
        </w:rPr>
        <w:t>279,</w:t>
      </w:r>
      <w:r>
        <w:rPr>
          <w:rFonts w:cs="Cambria"/>
        </w:rPr>
        <w:t xml:space="preserve"> R1–R8 (2000).</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6BAB683F" w14:textId="77777777" w:rsidR="005032C2" w:rsidRDefault="005032C2" w:rsidP="005032C2">
      <w:pPr>
        <w:framePr w:w="7817" w:h="1088" w:hSpace="180" w:wrap="around" w:vAnchor="text" w:hAnchor="page" w:x="1904" w:y="1"/>
        <w:pBdr>
          <w:top w:val="single" w:sz="6" w:space="1" w:color="auto"/>
          <w:left w:val="single" w:sz="6" w:space="1" w:color="auto"/>
          <w:bottom w:val="single" w:sz="6" w:space="1" w:color="auto"/>
          <w:right w:val="single" w:sz="6" w:space="1" w:color="auto"/>
        </w:pBdr>
      </w:pPr>
      <w:r>
        <w:t xml:space="preserve">Cohorts of mice were genotyped and caged with littermates of the same sex. The genotypes were blinded for experiments and only mouse numbers were used as identification throughout the experiments. For behavioral experiments the order of the genotypes was randomized. This is mentioned in text and methods. </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lastRenderedPageBreak/>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9A51E4" w14:textId="77777777" w:rsidR="005032C2" w:rsidRDefault="005032C2" w:rsidP="005032C2">
      <w:pPr>
        <w:framePr w:w="7817" w:h="1088" w:hSpace="180" w:wrap="around" w:vAnchor="text" w:hAnchor="page" w:x="1904" w:y="1"/>
        <w:pBdr>
          <w:top w:val="single" w:sz="6" w:space="1" w:color="auto"/>
          <w:left w:val="single" w:sz="6" w:space="1" w:color="auto"/>
          <w:bottom w:val="single" w:sz="6" w:space="1" w:color="auto"/>
          <w:right w:val="single" w:sz="6" w:space="1" w:color="auto"/>
        </w:pBdr>
      </w:pPr>
      <w:r>
        <w:t>Figure 1, Source data for MATLAB counts:</w:t>
      </w:r>
    </w:p>
    <w:p w14:paraId="2A4459FE" w14:textId="77777777" w:rsidR="005032C2" w:rsidRDefault="003E4B23" w:rsidP="005032C2">
      <w:pPr>
        <w:framePr w:w="7817" w:h="1088" w:hSpace="180" w:wrap="around" w:vAnchor="text" w:hAnchor="page" w:x="1904" w:y="1"/>
        <w:pBdr>
          <w:top w:val="single" w:sz="6" w:space="1" w:color="auto"/>
          <w:left w:val="single" w:sz="6" w:space="1" w:color="auto"/>
          <w:bottom w:val="single" w:sz="6" w:space="1" w:color="auto"/>
          <w:right w:val="single" w:sz="6" w:space="1" w:color="auto"/>
        </w:pBdr>
      </w:pPr>
      <w:hyperlink r:id="rId11" w:history="1">
        <w:r w:rsidR="005032C2" w:rsidRPr="009505DA">
          <w:rPr>
            <w:rStyle w:val="Hyperlink"/>
          </w:rPr>
          <w:t>https://github.com/elizabethagould/PLPeGFP_image_analysis</w:t>
        </w:r>
      </w:hyperlink>
    </w:p>
    <w:p w14:paraId="1B3D27AA" w14:textId="77777777" w:rsidR="005032C2" w:rsidRDefault="005032C2" w:rsidP="005032C2">
      <w:pPr>
        <w:framePr w:w="7817" w:h="1088" w:hSpace="180" w:wrap="around" w:vAnchor="text" w:hAnchor="page" w:x="1904" w:y="1"/>
        <w:pBdr>
          <w:top w:val="single" w:sz="6" w:space="1" w:color="auto"/>
          <w:left w:val="single" w:sz="6" w:space="1" w:color="auto"/>
          <w:bottom w:val="single" w:sz="6" w:space="1" w:color="auto"/>
          <w:right w:val="single" w:sz="6" w:space="1" w:color="auto"/>
        </w:pBdr>
      </w:pPr>
      <w:r>
        <w:t xml:space="preserve">Figure 6, Source data for Awake-behaving recordings: </w:t>
      </w:r>
    </w:p>
    <w:p w14:paraId="142755B0" w14:textId="77777777" w:rsidR="005032C2" w:rsidRDefault="005032C2" w:rsidP="005032C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eastAsia="Times New Roman"/>
        </w:rPr>
      </w:pPr>
      <w:hyperlink r:id="rId12" w:tgtFrame="_blank" w:history="1">
        <w:r>
          <w:rPr>
            <w:rStyle w:val="Hyperlink"/>
            <w:rFonts w:ascii="Calibri" w:eastAsia="Times New Roman" w:hAnsi="Calibri"/>
            <w:sz w:val="22"/>
            <w:szCs w:val="22"/>
            <w:shd w:val="clear" w:color="auto" w:fill="FFFFFF"/>
          </w:rPr>
          <w:t>https://github.com/restrepd/drgMaster</w:t>
        </w:r>
      </w:hyperlink>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019903" w14:textId="77777777" w:rsidR="003E4B23" w:rsidRDefault="003E4B23" w:rsidP="004215FE">
      <w:r>
        <w:separator/>
      </w:r>
    </w:p>
  </w:endnote>
  <w:endnote w:type="continuationSeparator" w:id="0">
    <w:p w14:paraId="0369DCD5" w14:textId="77777777" w:rsidR="003E4B23" w:rsidRDefault="003E4B2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Calibri"/>
    <w:panose1 w:val="020B0604020202020204"/>
    <w:charset w:val="00"/>
    <w:family w:val="auto"/>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óXˇøÂ'91Â'1">
    <w:altName w:val="Cambria"/>
    <w:panose1 w:val="020B0604020202020204"/>
    <w:charset w:val="4D"/>
    <w:family w:val="auto"/>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5032C2">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F07262" w14:textId="77777777" w:rsidR="003E4B23" w:rsidRDefault="003E4B23" w:rsidP="004215FE">
      <w:r>
        <w:separator/>
      </w:r>
    </w:p>
  </w:footnote>
  <w:footnote w:type="continuationSeparator" w:id="0">
    <w:p w14:paraId="27FB23A9" w14:textId="77777777" w:rsidR="003E4B23" w:rsidRDefault="003E4B2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7"/>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5A7"/>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E4B23"/>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32C2"/>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1A53"/>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134E"/>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6AE5D983-F134-3149-9E01-B0AF7E025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restrepd/drgMast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elizabethagould/PLPeGFP_image_analysi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9D1CA1-420E-974E-B409-C4C6F3D2C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1415</Words>
  <Characters>8067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9464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Restrepo, Diego</cp:lastModifiedBy>
  <cp:revision>2</cp:revision>
  <dcterms:created xsi:type="dcterms:W3CDTF">2018-02-06T03:08:00Z</dcterms:created>
  <dcterms:modified xsi:type="dcterms:W3CDTF">2018-02-06T03:08:00Z</dcterms:modified>
</cp:coreProperties>
</file>