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72B" w:rsidRPr="003B40E6" w:rsidRDefault="00D04686" w:rsidP="00AB672B">
      <w:pPr>
        <w:jc w:val="center"/>
        <w:rPr>
          <w:sz w:val="36"/>
          <w:szCs w:val="36"/>
        </w:rPr>
      </w:pPr>
      <w:r>
        <w:rPr>
          <w:sz w:val="36"/>
          <w:szCs w:val="36"/>
        </w:rPr>
        <w:t>Supplementary Information</w:t>
      </w:r>
      <w:r w:rsidR="00254D9E">
        <w:rPr>
          <w:sz w:val="36"/>
          <w:szCs w:val="36"/>
        </w:rPr>
        <w:t xml:space="preserve"> for</w:t>
      </w:r>
    </w:p>
    <w:p w:rsidR="00AB672B" w:rsidRDefault="00AB672B" w:rsidP="00AB672B"/>
    <w:p w:rsidR="00AB672B" w:rsidRDefault="00AB672B" w:rsidP="00AB672B"/>
    <w:p w:rsidR="00AB672B" w:rsidRDefault="00AB672B" w:rsidP="00AB672B"/>
    <w:p w:rsidR="00AB672B" w:rsidRDefault="00AB672B" w:rsidP="00AB672B"/>
    <w:p w:rsidR="00A04A1D" w:rsidRPr="0037676A" w:rsidRDefault="00C83CB3" w:rsidP="008B245C">
      <w:pPr>
        <w:spacing w:line="480" w:lineRule="auto"/>
        <w:jc w:val="center"/>
        <w:rPr>
          <w:sz w:val="36"/>
          <w:szCs w:val="36"/>
        </w:rPr>
      </w:pPr>
      <w:r w:rsidRPr="00C83CB3">
        <w:rPr>
          <w:sz w:val="36"/>
          <w:szCs w:val="36"/>
        </w:rPr>
        <w:t>Asymmetric activation mechanism of a homodimeric red light regulated photoreceptor.</w:t>
      </w:r>
    </w:p>
    <w:p w:rsidR="00AB672B" w:rsidRDefault="00AB672B" w:rsidP="00AB672B">
      <w:pPr>
        <w:jc w:val="center"/>
        <w:rPr>
          <w:sz w:val="28"/>
          <w:szCs w:val="28"/>
        </w:rPr>
      </w:pPr>
    </w:p>
    <w:p w:rsidR="00AB672B" w:rsidRDefault="00AB672B" w:rsidP="00AB672B">
      <w:pPr>
        <w:jc w:val="center"/>
        <w:rPr>
          <w:sz w:val="28"/>
          <w:szCs w:val="28"/>
        </w:rPr>
      </w:pPr>
    </w:p>
    <w:p w:rsidR="00AB672B" w:rsidRPr="007108F5" w:rsidRDefault="00AB672B" w:rsidP="00AB672B">
      <w:pPr>
        <w:jc w:val="center"/>
        <w:rPr>
          <w:sz w:val="28"/>
          <w:szCs w:val="28"/>
        </w:rPr>
      </w:pPr>
    </w:p>
    <w:p w:rsidR="00AB672B" w:rsidRDefault="00AB672B" w:rsidP="00AB672B">
      <w:pPr>
        <w:jc w:val="center"/>
        <w:rPr>
          <w:szCs w:val="24"/>
        </w:rPr>
      </w:pPr>
      <w:proofErr w:type="gramStart"/>
      <w:r w:rsidRPr="00E51A2D">
        <w:rPr>
          <w:szCs w:val="24"/>
        </w:rPr>
        <w:t>Geoffrey Gourinchas</w:t>
      </w:r>
      <w:r w:rsidR="008B245C">
        <w:rPr>
          <w:szCs w:val="24"/>
          <w:vertAlign w:val="superscript"/>
        </w:rPr>
        <w:t>1</w:t>
      </w:r>
      <w:r w:rsidRPr="00E51A2D">
        <w:rPr>
          <w:szCs w:val="24"/>
        </w:rPr>
        <w:t xml:space="preserve">, </w:t>
      </w:r>
      <w:r>
        <w:rPr>
          <w:szCs w:val="24"/>
        </w:rPr>
        <w:t>Udo Heintz</w:t>
      </w:r>
      <w:r w:rsidR="008B245C">
        <w:rPr>
          <w:szCs w:val="24"/>
          <w:vertAlign w:val="superscript"/>
        </w:rPr>
        <w:t>2</w:t>
      </w:r>
      <w:r w:rsidR="00997EC4">
        <w:rPr>
          <w:szCs w:val="24"/>
        </w:rPr>
        <w:t xml:space="preserve"> </w:t>
      </w:r>
      <w:r w:rsidRPr="00E51A2D">
        <w:rPr>
          <w:szCs w:val="24"/>
        </w:rPr>
        <w:t>&amp; Andreas Winkler</w:t>
      </w:r>
      <w:r w:rsidR="00D02960">
        <w:rPr>
          <w:szCs w:val="24"/>
          <w:vertAlign w:val="superscript"/>
        </w:rPr>
        <w:t>1</w:t>
      </w:r>
      <w:r w:rsidR="008B245C">
        <w:rPr>
          <w:szCs w:val="24"/>
          <w:vertAlign w:val="superscript"/>
        </w:rPr>
        <w:t>,*</w:t>
      </w:r>
      <w:r>
        <w:rPr>
          <w:szCs w:val="24"/>
        </w:rPr>
        <w:t>.</w:t>
      </w:r>
      <w:proofErr w:type="gramEnd"/>
    </w:p>
    <w:p w:rsidR="00AB672B" w:rsidRDefault="00AB672B" w:rsidP="00AB672B">
      <w:pPr>
        <w:jc w:val="center"/>
        <w:rPr>
          <w:szCs w:val="24"/>
        </w:rPr>
      </w:pPr>
    </w:p>
    <w:p w:rsidR="00AB672B" w:rsidRDefault="00AB672B" w:rsidP="00AB672B">
      <w:pPr>
        <w:jc w:val="center"/>
        <w:rPr>
          <w:szCs w:val="24"/>
        </w:rPr>
      </w:pPr>
    </w:p>
    <w:p w:rsidR="00AB672B" w:rsidRDefault="008B245C" w:rsidP="00AB672B">
      <w:pPr>
        <w:jc w:val="center"/>
        <w:rPr>
          <w:szCs w:val="24"/>
        </w:rPr>
      </w:pPr>
      <w:r>
        <w:rPr>
          <w:szCs w:val="24"/>
        </w:rPr>
        <w:t>*</w:t>
      </w:r>
      <w:r w:rsidR="00620BD2">
        <w:rPr>
          <w:szCs w:val="24"/>
        </w:rPr>
        <w:t>For correspondence</w:t>
      </w:r>
      <w:r w:rsidR="00505DE6">
        <w:rPr>
          <w:szCs w:val="24"/>
        </w:rPr>
        <w:t xml:space="preserve">: </w:t>
      </w:r>
      <w:hyperlink r:id="rId6" w:history="1">
        <w:r w:rsidR="00AB672B" w:rsidRPr="00305FE8">
          <w:rPr>
            <w:rStyle w:val="Hyperlink"/>
            <w:szCs w:val="24"/>
          </w:rPr>
          <w:t>Andreas.Winkler@TUGraz.at</w:t>
        </w:r>
      </w:hyperlink>
    </w:p>
    <w:p w:rsidR="00AB672B" w:rsidRDefault="00AB672B" w:rsidP="00AB672B"/>
    <w:p w:rsidR="00AB672B" w:rsidRDefault="00AB672B" w:rsidP="00AB672B">
      <w:pPr>
        <w:rPr>
          <w:b/>
        </w:rPr>
      </w:pPr>
    </w:p>
    <w:p w:rsidR="00AB672B" w:rsidRDefault="00AB672B" w:rsidP="00AB672B">
      <w:pPr>
        <w:rPr>
          <w:b/>
        </w:rPr>
      </w:pPr>
    </w:p>
    <w:p w:rsidR="00AB672B" w:rsidRPr="00262D72" w:rsidRDefault="00AB672B" w:rsidP="00AB672B">
      <w:pPr>
        <w:rPr>
          <w:b/>
        </w:rPr>
      </w:pPr>
      <w:r>
        <w:rPr>
          <w:b/>
        </w:rPr>
        <w:t xml:space="preserve">This PDF file </w:t>
      </w:r>
      <w:r w:rsidRPr="00262D72">
        <w:rPr>
          <w:b/>
        </w:rPr>
        <w:t>includes:</w:t>
      </w:r>
    </w:p>
    <w:p w:rsidR="00AB672B" w:rsidRDefault="00AB672B" w:rsidP="00AB672B"/>
    <w:p w:rsidR="006D3DFA" w:rsidRDefault="006D3DFA" w:rsidP="00AB672B">
      <w:pPr>
        <w:ind w:left="720"/>
      </w:pPr>
    </w:p>
    <w:p w:rsidR="00AB672B" w:rsidRDefault="00AB672B" w:rsidP="005C0C3E">
      <w:pPr>
        <w:spacing w:line="480" w:lineRule="auto"/>
        <w:jc w:val="both"/>
      </w:pPr>
    </w:p>
    <w:p w:rsidR="00241ED1" w:rsidRDefault="004B1FF1" w:rsidP="005C0C3E">
      <w:pPr>
        <w:spacing w:line="480" w:lineRule="auto"/>
        <w:ind w:left="720"/>
        <w:jc w:val="both"/>
      </w:pPr>
      <w:r>
        <w:t xml:space="preserve">Supplementary </w:t>
      </w:r>
      <w:r w:rsidR="00350787">
        <w:t>Table</w:t>
      </w:r>
      <w:r w:rsidR="007E08BF">
        <w:t>s</w:t>
      </w:r>
      <w:r w:rsidR="00350787">
        <w:t xml:space="preserve"> 1 </w:t>
      </w:r>
      <w:r w:rsidR="006200D4">
        <w:t>to</w:t>
      </w:r>
      <w:r w:rsidR="00350787">
        <w:t xml:space="preserve"> 3</w:t>
      </w:r>
    </w:p>
    <w:p w:rsidR="00AB672B" w:rsidRDefault="00AB672B" w:rsidP="00472BE8">
      <w:pPr>
        <w:rPr>
          <w:b/>
        </w:rPr>
      </w:pPr>
    </w:p>
    <w:p w:rsidR="00472BE8" w:rsidRDefault="00472BE8" w:rsidP="00472BE8">
      <w:pPr>
        <w:rPr>
          <w:b/>
        </w:rPr>
      </w:pPr>
    </w:p>
    <w:p w:rsidR="00472BE8" w:rsidRDefault="00472BE8" w:rsidP="00472BE8">
      <w:pPr>
        <w:rPr>
          <w:b/>
        </w:rPr>
      </w:pPr>
    </w:p>
    <w:p w:rsidR="00472BE8" w:rsidRDefault="00472BE8" w:rsidP="00472BE8">
      <w:pPr>
        <w:rPr>
          <w:b/>
        </w:rPr>
      </w:pPr>
    </w:p>
    <w:p w:rsidR="00472BE8" w:rsidRDefault="00472BE8" w:rsidP="00472BE8">
      <w:pPr>
        <w:rPr>
          <w:b/>
        </w:rPr>
      </w:pPr>
      <w:bookmarkStart w:id="0" w:name="_GoBack"/>
      <w:bookmarkEnd w:id="0"/>
    </w:p>
    <w:p w:rsidR="00472BE8" w:rsidRDefault="00472BE8" w:rsidP="00472BE8">
      <w:pPr>
        <w:rPr>
          <w:b/>
        </w:rPr>
      </w:pPr>
    </w:p>
    <w:p w:rsidR="00472BE8" w:rsidRDefault="00472BE8" w:rsidP="00472BE8">
      <w:pPr>
        <w:rPr>
          <w:b/>
        </w:rPr>
      </w:pPr>
    </w:p>
    <w:p w:rsidR="00472BE8" w:rsidRDefault="00472BE8" w:rsidP="00472BE8">
      <w:pPr>
        <w:rPr>
          <w:b/>
        </w:rPr>
      </w:pPr>
    </w:p>
    <w:p w:rsidR="00472BE8" w:rsidRDefault="00472BE8" w:rsidP="00472BE8">
      <w:pPr>
        <w:rPr>
          <w:b/>
        </w:rPr>
      </w:pPr>
    </w:p>
    <w:p w:rsidR="00472BE8" w:rsidRDefault="00472BE8" w:rsidP="00472BE8">
      <w:pPr>
        <w:rPr>
          <w:b/>
        </w:rPr>
      </w:pPr>
    </w:p>
    <w:p w:rsidR="00637A73" w:rsidRDefault="00637A73" w:rsidP="00472BE8">
      <w:pPr>
        <w:rPr>
          <w:b/>
        </w:rPr>
      </w:pPr>
    </w:p>
    <w:p w:rsidR="00637A73" w:rsidRDefault="00637A73" w:rsidP="00472BE8">
      <w:pPr>
        <w:rPr>
          <w:b/>
        </w:rPr>
      </w:pPr>
    </w:p>
    <w:p w:rsidR="00637A73" w:rsidRDefault="00637A73" w:rsidP="00472BE8">
      <w:pPr>
        <w:rPr>
          <w:b/>
        </w:rPr>
      </w:pPr>
    </w:p>
    <w:p w:rsidR="00637A73" w:rsidRDefault="00637A73" w:rsidP="00472BE8">
      <w:pPr>
        <w:rPr>
          <w:b/>
        </w:rPr>
      </w:pPr>
    </w:p>
    <w:p w:rsidR="00472BE8" w:rsidRDefault="00472BE8" w:rsidP="00472BE8">
      <w:pPr>
        <w:rPr>
          <w:b/>
        </w:rPr>
      </w:pPr>
    </w:p>
    <w:p w:rsidR="0069430B" w:rsidRPr="007C413C" w:rsidRDefault="003A0408" w:rsidP="007C413C">
      <w:pPr>
        <w:spacing w:line="480" w:lineRule="auto"/>
        <w:jc w:val="both"/>
        <w:rPr>
          <w:szCs w:val="24"/>
        </w:rPr>
      </w:pPr>
      <w:r>
        <w:rPr>
          <w:szCs w:val="24"/>
        </w:rPr>
        <w:t xml:space="preserve">  </w:t>
      </w:r>
    </w:p>
    <w:p w:rsidR="0027235B" w:rsidRDefault="00362A5F" w:rsidP="0027235B">
      <w:pPr>
        <w:spacing w:line="480" w:lineRule="auto"/>
        <w:jc w:val="both"/>
        <w:rPr>
          <w:szCs w:val="24"/>
        </w:rPr>
      </w:pPr>
      <w:proofErr w:type="gramStart"/>
      <w:r>
        <w:rPr>
          <w:b/>
        </w:rPr>
        <w:lastRenderedPageBreak/>
        <w:t>Supplementary Table 1</w:t>
      </w:r>
      <w:r w:rsidR="00026853">
        <w:rPr>
          <w:b/>
        </w:rPr>
        <w:t>.</w:t>
      </w:r>
      <w:proofErr w:type="gramEnd"/>
      <w:r w:rsidR="0027235B" w:rsidRPr="009F33DE">
        <w:rPr>
          <w:b/>
        </w:rPr>
        <w:t xml:space="preserve"> </w:t>
      </w:r>
      <w:r w:rsidR="0027235B">
        <w:rPr>
          <w:b/>
        </w:rPr>
        <w:t xml:space="preserve">Overview of </w:t>
      </w:r>
      <w:r w:rsidR="0014170D">
        <w:rPr>
          <w:b/>
        </w:rPr>
        <w:t xml:space="preserve">thermal </w:t>
      </w:r>
      <w:r w:rsidR="0027235B">
        <w:rPr>
          <w:b/>
        </w:rPr>
        <w:t xml:space="preserve">dark state recoveries </w:t>
      </w:r>
      <w:r w:rsidR="0014170D">
        <w:rPr>
          <w:b/>
        </w:rPr>
        <w:t>for</w:t>
      </w:r>
      <w:r w:rsidR="0027235B">
        <w:rPr>
          <w:b/>
        </w:rPr>
        <w:t xml:space="preserve"> the </w:t>
      </w:r>
      <w:r w:rsidR="0014170D" w:rsidRPr="0014170D">
        <w:rPr>
          <w:b/>
          <w:i/>
        </w:rPr>
        <w:t>Is</w:t>
      </w:r>
      <w:r w:rsidR="0014170D">
        <w:rPr>
          <w:b/>
        </w:rPr>
        <w:t xml:space="preserve">PadC </w:t>
      </w:r>
      <w:r w:rsidR="0027235B">
        <w:rPr>
          <w:b/>
        </w:rPr>
        <w:t xml:space="preserve">constructs used in this study. </w:t>
      </w:r>
      <w:r w:rsidR="0027235B" w:rsidRPr="001513CF">
        <w:rPr>
          <w:szCs w:val="24"/>
        </w:rPr>
        <w:t>*</w:t>
      </w:r>
      <w:r w:rsidR="0069430B">
        <w:rPr>
          <w:szCs w:val="24"/>
        </w:rPr>
        <w:t xml:space="preserve"> </w:t>
      </w:r>
      <w:r w:rsidR="009F425D">
        <w:rPr>
          <w:szCs w:val="24"/>
        </w:rPr>
        <w:t>F</w:t>
      </w:r>
      <w:r w:rsidR="004C492F">
        <w:rPr>
          <w:szCs w:val="24"/>
        </w:rPr>
        <w:t xml:space="preserve">or comparison </w:t>
      </w:r>
      <w:r w:rsidR="0014170D">
        <w:rPr>
          <w:szCs w:val="24"/>
        </w:rPr>
        <w:t>of</w:t>
      </w:r>
      <w:r w:rsidR="004C492F">
        <w:rPr>
          <w:szCs w:val="24"/>
        </w:rPr>
        <w:t xml:space="preserve"> </w:t>
      </w:r>
      <w:r w:rsidR="0014170D">
        <w:rPr>
          <w:szCs w:val="24"/>
        </w:rPr>
        <w:t>individual</w:t>
      </w:r>
      <w:r w:rsidR="004C492F">
        <w:rPr>
          <w:szCs w:val="24"/>
        </w:rPr>
        <w:t xml:space="preserve"> variants</w:t>
      </w:r>
      <w:r w:rsidR="0027235B">
        <w:rPr>
          <w:szCs w:val="24"/>
        </w:rPr>
        <w:t xml:space="preserve"> </w:t>
      </w:r>
      <w:r w:rsidR="009F425D">
        <w:rPr>
          <w:szCs w:val="24"/>
        </w:rPr>
        <w:t xml:space="preserve">all measurements </w:t>
      </w:r>
      <w:r w:rsidR="0027235B">
        <w:rPr>
          <w:szCs w:val="24"/>
        </w:rPr>
        <w:t xml:space="preserve">were done </w:t>
      </w:r>
      <w:r w:rsidR="0069430B">
        <w:rPr>
          <w:szCs w:val="24"/>
        </w:rPr>
        <w:t>at</w:t>
      </w:r>
      <w:r w:rsidR="0027235B">
        <w:rPr>
          <w:szCs w:val="24"/>
        </w:rPr>
        <w:t xml:space="preserve"> a protein concentration </w:t>
      </w:r>
      <w:r w:rsidR="00EF2C39">
        <w:rPr>
          <w:szCs w:val="24"/>
        </w:rPr>
        <w:t>of</w:t>
      </w:r>
      <w:r w:rsidR="0014170D">
        <w:rPr>
          <w:szCs w:val="24"/>
        </w:rPr>
        <w:t xml:space="preserve"> </w:t>
      </w:r>
      <w:r w:rsidR="0027235B">
        <w:rPr>
          <w:szCs w:val="24"/>
        </w:rPr>
        <w:t>2 μM</w:t>
      </w:r>
      <w:r w:rsidR="004C492F">
        <w:rPr>
          <w:szCs w:val="24"/>
        </w:rPr>
        <w:t xml:space="preserve"> and </w:t>
      </w:r>
      <w:r w:rsidR="0014170D">
        <w:rPr>
          <w:szCs w:val="24"/>
        </w:rPr>
        <w:t xml:space="preserve">initially </w:t>
      </w:r>
      <w:r w:rsidR="004C492F">
        <w:rPr>
          <w:szCs w:val="24"/>
        </w:rPr>
        <w:t xml:space="preserve">fitted with </w:t>
      </w:r>
      <w:r w:rsidR="0014170D">
        <w:rPr>
          <w:szCs w:val="24"/>
        </w:rPr>
        <w:t>the</w:t>
      </w:r>
      <w:r w:rsidR="004C492F">
        <w:rPr>
          <w:szCs w:val="24"/>
        </w:rPr>
        <w:t xml:space="preserve"> sum of two exponentials</w:t>
      </w:r>
      <w:r w:rsidR="0027235B">
        <w:rPr>
          <w:szCs w:val="24"/>
        </w:rPr>
        <w:t>. Since we observed suboptimal fit</w:t>
      </w:r>
      <w:r w:rsidR="0014170D">
        <w:rPr>
          <w:szCs w:val="24"/>
        </w:rPr>
        <w:t>s of</w:t>
      </w:r>
      <w:r w:rsidR="0027235B">
        <w:rPr>
          <w:szCs w:val="24"/>
        </w:rPr>
        <w:t xml:space="preserve"> dark-state recoveries </w:t>
      </w:r>
      <w:r w:rsidR="009F425D">
        <w:rPr>
          <w:szCs w:val="24"/>
        </w:rPr>
        <w:t>of the</w:t>
      </w:r>
      <w:r w:rsidR="00EF2C39">
        <w:rPr>
          <w:szCs w:val="24"/>
        </w:rPr>
        <w:t xml:space="preserve"> variants </w:t>
      </w:r>
      <w:r w:rsidR="009F425D">
        <w:rPr>
          <w:szCs w:val="24"/>
        </w:rPr>
        <w:t xml:space="preserve">that </w:t>
      </w:r>
      <w:r w:rsidR="00464238">
        <w:rPr>
          <w:szCs w:val="24"/>
        </w:rPr>
        <w:t>f</w:t>
      </w:r>
      <w:r w:rsidR="0014170D">
        <w:rPr>
          <w:szCs w:val="24"/>
        </w:rPr>
        <w:t>eatur</w:t>
      </w:r>
      <w:r w:rsidR="00464238">
        <w:rPr>
          <w:szCs w:val="24"/>
        </w:rPr>
        <w:t>e</w:t>
      </w:r>
      <w:r w:rsidR="0014170D">
        <w:rPr>
          <w:szCs w:val="24"/>
        </w:rPr>
        <w:t xml:space="preserve"> extremely slow </w:t>
      </w:r>
      <w:r w:rsidR="00464238">
        <w:rPr>
          <w:szCs w:val="24"/>
        </w:rPr>
        <w:t>recovery contributions</w:t>
      </w:r>
      <w:r w:rsidR="009F425D">
        <w:rPr>
          <w:szCs w:val="24"/>
        </w:rPr>
        <w:t xml:space="preserve"> we used </w:t>
      </w:r>
      <w:r w:rsidR="00464238" w:rsidRPr="0069430B">
        <w:rPr>
          <w:szCs w:val="24"/>
        </w:rPr>
        <w:t>the</w:t>
      </w:r>
      <w:r w:rsidR="00EF2C39" w:rsidRPr="0069430B">
        <w:rPr>
          <w:szCs w:val="24"/>
        </w:rPr>
        <w:t xml:space="preserve"> sum of three exponentials</w:t>
      </w:r>
      <w:r w:rsidR="004C492F" w:rsidRPr="0069430B">
        <w:rPr>
          <w:szCs w:val="24"/>
        </w:rPr>
        <w:t xml:space="preserve"> to fit the recover</w:t>
      </w:r>
      <w:r w:rsidR="00191ABD" w:rsidRPr="0069430B">
        <w:rPr>
          <w:szCs w:val="24"/>
        </w:rPr>
        <w:t>y of these variants</w:t>
      </w:r>
      <w:r w:rsidR="00EF2C39" w:rsidRPr="0069430B">
        <w:rPr>
          <w:szCs w:val="24"/>
        </w:rPr>
        <w:t xml:space="preserve">. </w:t>
      </w:r>
      <w:r w:rsidR="00464238" w:rsidRPr="0069430B">
        <w:rPr>
          <w:szCs w:val="24"/>
        </w:rPr>
        <w:t>For</w:t>
      </w:r>
      <w:r w:rsidR="00191ABD" w:rsidRPr="0069430B">
        <w:rPr>
          <w:szCs w:val="24"/>
        </w:rPr>
        <w:t xml:space="preserve"> variant</w:t>
      </w:r>
      <w:r w:rsidR="00464238" w:rsidRPr="0069430B">
        <w:rPr>
          <w:szCs w:val="24"/>
        </w:rPr>
        <w:t>s</w:t>
      </w:r>
      <w:r w:rsidR="00191ABD">
        <w:rPr>
          <w:szCs w:val="24"/>
        </w:rPr>
        <w:t xml:space="preserve"> featuring excessively long recoveries the fit </w:t>
      </w:r>
      <w:r w:rsidR="00464238">
        <w:rPr>
          <w:szCs w:val="24"/>
        </w:rPr>
        <w:t>included a fixed known endpoint</w:t>
      </w:r>
      <w:r w:rsidR="003B31E7">
        <w:rPr>
          <w:szCs w:val="24"/>
        </w:rPr>
        <w:t xml:space="preserve"> (y0)</w:t>
      </w:r>
      <w:r w:rsidR="0069430B">
        <w:rPr>
          <w:szCs w:val="24"/>
        </w:rPr>
        <w:t>, which was</w:t>
      </w:r>
      <w:r w:rsidR="004C492F">
        <w:rPr>
          <w:szCs w:val="24"/>
        </w:rPr>
        <w:t xml:space="preserve"> obtained from </w:t>
      </w:r>
      <w:r w:rsidR="00464238">
        <w:rPr>
          <w:szCs w:val="24"/>
        </w:rPr>
        <w:t xml:space="preserve">the corresponding </w:t>
      </w:r>
      <w:r w:rsidR="004C492F">
        <w:rPr>
          <w:szCs w:val="24"/>
        </w:rPr>
        <w:t>dark state spectra</w:t>
      </w:r>
      <w:r w:rsidR="00EB63F1">
        <w:rPr>
          <w:szCs w:val="24"/>
        </w:rPr>
        <w:t xml:space="preserve">. </w:t>
      </w:r>
      <w:r w:rsidR="0027235B" w:rsidRPr="001513CF">
        <w:rPr>
          <w:szCs w:val="24"/>
        </w:rPr>
        <w:t xml:space="preserve">After red light illumination of 1 </w:t>
      </w:r>
      <w:r w:rsidR="0027235B">
        <w:rPr>
          <w:szCs w:val="24"/>
        </w:rPr>
        <w:t>min, changes in absorption at 71</w:t>
      </w:r>
      <w:r w:rsidR="0027235B" w:rsidRPr="001513CF">
        <w:rPr>
          <w:szCs w:val="24"/>
        </w:rPr>
        <w:t>0 nm</w:t>
      </w:r>
      <w:r w:rsidR="005F18A7">
        <w:rPr>
          <w:szCs w:val="24"/>
        </w:rPr>
        <w:t xml:space="preserve"> </w:t>
      </w:r>
      <w:r w:rsidR="0027235B" w:rsidRPr="001513CF">
        <w:rPr>
          <w:szCs w:val="24"/>
        </w:rPr>
        <w:t xml:space="preserve">were followed, with automatic sampling every 5 s and an integration time of 0.01 s. The contribution of each phase </w:t>
      </w:r>
      <w:r w:rsidR="00464238">
        <w:rPr>
          <w:szCs w:val="24"/>
        </w:rPr>
        <w:t>to</w:t>
      </w:r>
      <w:r w:rsidR="0027235B">
        <w:rPr>
          <w:szCs w:val="24"/>
        </w:rPr>
        <w:t xml:space="preserve"> the thermal recovery is </w:t>
      </w:r>
      <w:r w:rsidR="0027235B" w:rsidRPr="001513CF">
        <w:rPr>
          <w:szCs w:val="24"/>
        </w:rPr>
        <w:t>represented as relative amplitude. The SE of the estimate from the nonlinear curve fit corresponding to y = A1*</w:t>
      </w:r>
      <w:proofErr w:type="spellStart"/>
      <w:proofErr w:type="gramStart"/>
      <w:r w:rsidR="0027235B" w:rsidRPr="001513CF">
        <w:rPr>
          <w:szCs w:val="24"/>
        </w:rPr>
        <w:t>exp</w:t>
      </w:r>
      <w:proofErr w:type="spellEnd"/>
      <w:r w:rsidR="0027235B" w:rsidRPr="001513CF">
        <w:rPr>
          <w:szCs w:val="24"/>
        </w:rPr>
        <w:t>(</w:t>
      </w:r>
      <w:proofErr w:type="gramEnd"/>
      <w:r w:rsidR="0027235B" w:rsidRPr="001513CF">
        <w:rPr>
          <w:szCs w:val="24"/>
        </w:rPr>
        <w:t>−x/</w:t>
      </w:r>
      <w:r w:rsidR="00505DE6">
        <w:rPr>
          <w:szCs w:val="24"/>
        </w:rPr>
        <w:t>τ</w:t>
      </w:r>
      <w:r w:rsidR="0027235B" w:rsidRPr="001513CF">
        <w:rPr>
          <w:szCs w:val="24"/>
        </w:rPr>
        <w:t>1) + A2*</w:t>
      </w:r>
      <w:proofErr w:type="spellStart"/>
      <w:r w:rsidR="0027235B" w:rsidRPr="001513CF">
        <w:rPr>
          <w:szCs w:val="24"/>
        </w:rPr>
        <w:t>exp</w:t>
      </w:r>
      <w:proofErr w:type="spellEnd"/>
      <w:r w:rsidR="0027235B" w:rsidRPr="001513CF">
        <w:rPr>
          <w:szCs w:val="24"/>
        </w:rPr>
        <w:t>(−x/</w:t>
      </w:r>
      <w:r w:rsidR="00505DE6">
        <w:rPr>
          <w:szCs w:val="24"/>
        </w:rPr>
        <w:t>τ</w:t>
      </w:r>
      <w:r w:rsidR="0027235B" w:rsidRPr="001513CF">
        <w:rPr>
          <w:szCs w:val="24"/>
        </w:rPr>
        <w:t>2) + y0</w:t>
      </w:r>
      <w:r w:rsidR="00AC7546">
        <w:rPr>
          <w:szCs w:val="24"/>
        </w:rPr>
        <w:t xml:space="preserve"> for a sum of two exponentials, and to </w:t>
      </w:r>
      <w:r w:rsidR="00AC7546" w:rsidRPr="001513CF">
        <w:rPr>
          <w:szCs w:val="24"/>
        </w:rPr>
        <w:t>y = A1*</w:t>
      </w:r>
      <w:proofErr w:type="spellStart"/>
      <w:r w:rsidR="00AC7546" w:rsidRPr="001513CF">
        <w:rPr>
          <w:szCs w:val="24"/>
        </w:rPr>
        <w:t>exp</w:t>
      </w:r>
      <w:proofErr w:type="spellEnd"/>
      <w:r w:rsidR="00AC7546" w:rsidRPr="001513CF">
        <w:rPr>
          <w:szCs w:val="24"/>
        </w:rPr>
        <w:t>(−x/</w:t>
      </w:r>
      <w:r w:rsidR="00505DE6">
        <w:rPr>
          <w:szCs w:val="24"/>
        </w:rPr>
        <w:t>τ</w:t>
      </w:r>
      <w:r w:rsidR="00AC7546" w:rsidRPr="001513CF">
        <w:rPr>
          <w:szCs w:val="24"/>
        </w:rPr>
        <w:t>1) + A2*</w:t>
      </w:r>
      <w:proofErr w:type="spellStart"/>
      <w:r w:rsidR="00AC7546" w:rsidRPr="001513CF">
        <w:rPr>
          <w:szCs w:val="24"/>
        </w:rPr>
        <w:t>exp</w:t>
      </w:r>
      <w:proofErr w:type="spellEnd"/>
      <w:r w:rsidR="00AC7546" w:rsidRPr="001513CF">
        <w:rPr>
          <w:szCs w:val="24"/>
        </w:rPr>
        <w:t>(−x/</w:t>
      </w:r>
      <w:r w:rsidR="00505DE6">
        <w:rPr>
          <w:szCs w:val="24"/>
        </w:rPr>
        <w:t>τ</w:t>
      </w:r>
      <w:r w:rsidR="00AC7546" w:rsidRPr="001513CF">
        <w:rPr>
          <w:szCs w:val="24"/>
        </w:rPr>
        <w:t>2)</w:t>
      </w:r>
      <w:r w:rsidR="00AC7546">
        <w:rPr>
          <w:szCs w:val="24"/>
        </w:rPr>
        <w:t xml:space="preserve"> + A3*</w:t>
      </w:r>
      <w:proofErr w:type="spellStart"/>
      <w:r w:rsidR="00AC7546">
        <w:rPr>
          <w:szCs w:val="24"/>
        </w:rPr>
        <w:t>exp</w:t>
      </w:r>
      <w:proofErr w:type="spellEnd"/>
      <w:r w:rsidR="00AC7546">
        <w:rPr>
          <w:szCs w:val="24"/>
        </w:rPr>
        <w:t>(-x/</w:t>
      </w:r>
      <w:r w:rsidR="00505DE6">
        <w:rPr>
          <w:szCs w:val="24"/>
        </w:rPr>
        <w:t>τ</w:t>
      </w:r>
      <w:r w:rsidR="00AC7546">
        <w:rPr>
          <w:szCs w:val="24"/>
        </w:rPr>
        <w:t>3)</w:t>
      </w:r>
      <w:r w:rsidR="00AC7546" w:rsidRPr="001513CF">
        <w:rPr>
          <w:szCs w:val="24"/>
        </w:rPr>
        <w:t xml:space="preserve"> + y0</w:t>
      </w:r>
      <w:r w:rsidR="00AC7546">
        <w:rPr>
          <w:szCs w:val="24"/>
        </w:rPr>
        <w:t xml:space="preserve"> for a sum of three exponentials,</w:t>
      </w:r>
      <w:r w:rsidR="0027235B" w:rsidRPr="001513CF">
        <w:rPr>
          <w:szCs w:val="24"/>
        </w:rPr>
        <w:t xml:space="preserve"> </w:t>
      </w:r>
      <w:r w:rsidR="0027235B">
        <w:rPr>
          <w:szCs w:val="24"/>
        </w:rPr>
        <w:t>w</w:t>
      </w:r>
      <w:r w:rsidR="00AC7546">
        <w:rPr>
          <w:szCs w:val="24"/>
        </w:rPr>
        <w:t>ere</w:t>
      </w:r>
      <w:r w:rsidR="0027235B">
        <w:rPr>
          <w:szCs w:val="24"/>
        </w:rPr>
        <w:t xml:space="preserve"> used as error </w:t>
      </w:r>
      <w:r w:rsidR="0027235B" w:rsidRPr="001513CF">
        <w:rPr>
          <w:szCs w:val="24"/>
        </w:rPr>
        <w:t>indicator</w:t>
      </w:r>
      <w:r w:rsidR="00464238">
        <w:rPr>
          <w:szCs w:val="24"/>
        </w:rPr>
        <w:t>s</w:t>
      </w:r>
      <w:r w:rsidR="0027235B" w:rsidRPr="001513CF">
        <w:rPr>
          <w:szCs w:val="24"/>
        </w:rPr>
        <w:t>.</w:t>
      </w:r>
      <w:r w:rsidR="0027235B">
        <w:rPr>
          <w:szCs w:val="24"/>
        </w:rPr>
        <w:t xml:space="preserve"> </w:t>
      </w:r>
      <w:r w:rsidR="0027235B" w:rsidRPr="006200CB">
        <w:rPr>
          <w:szCs w:val="24"/>
          <w:vertAlign w:val="superscript"/>
        </w:rPr>
        <w:t>#1</w:t>
      </w:r>
      <w:r w:rsidR="0027235B">
        <w:rPr>
          <w:szCs w:val="24"/>
        </w:rPr>
        <w:t xml:space="preserve"> Recovery </w:t>
      </w:r>
      <w:r w:rsidR="00505DE6">
        <w:rPr>
          <w:szCs w:val="24"/>
        </w:rPr>
        <w:t xml:space="preserve">time </w:t>
      </w:r>
      <w:r w:rsidR="0027235B">
        <w:rPr>
          <w:szCs w:val="24"/>
        </w:rPr>
        <w:t xml:space="preserve">constants measured as described above for </w:t>
      </w:r>
      <w:r w:rsidR="0027235B" w:rsidRPr="0075419E">
        <w:rPr>
          <w:i/>
          <w:szCs w:val="24"/>
        </w:rPr>
        <w:t>Is</w:t>
      </w:r>
      <w:r w:rsidR="0027235B">
        <w:rPr>
          <w:szCs w:val="24"/>
        </w:rPr>
        <w:t>PadC at 10 μM.</w:t>
      </w:r>
      <w:r w:rsidR="00505DE6">
        <w:rPr>
          <w:szCs w:val="24"/>
        </w:rPr>
        <w:t xml:space="preserve"> Due to a dependence of the recovery kinetics on protein concentration, </w:t>
      </w:r>
      <w:r w:rsidR="00505DE6" w:rsidRPr="0014170D">
        <w:rPr>
          <w:i/>
          <w:szCs w:val="24"/>
        </w:rPr>
        <w:t>Is</w:t>
      </w:r>
      <w:r w:rsidR="00505DE6">
        <w:rPr>
          <w:szCs w:val="24"/>
        </w:rPr>
        <w:t>PadC at higher protein concentrations required a fit based on the</w:t>
      </w:r>
      <w:r w:rsidR="00505DE6" w:rsidRPr="001513CF">
        <w:rPr>
          <w:szCs w:val="24"/>
        </w:rPr>
        <w:t xml:space="preserve"> </w:t>
      </w:r>
      <w:r w:rsidR="00505DE6">
        <w:rPr>
          <w:szCs w:val="24"/>
        </w:rPr>
        <w:t xml:space="preserve">sum of three exponentials to fit the dark-state recovery. </w:t>
      </w:r>
      <w:r w:rsidR="0027235B" w:rsidRPr="006200CB">
        <w:rPr>
          <w:szCs w:val="24"/>
          <w:vertAlign w:val="superscript"/>
        </w:rPr>
        <w:t>#2</w:t>
      </w:r>
      <w:r w:rsidR="0027235B">
        <w:rPr>
          <w:szCs w:val="24"/>
        </w:rPr>
        <w:t xml:space="preserve"> After red light illumination, the 10 μM sample was kept in the dark and aliquots were removed at different time points to follow the changes in the acid denatured spectra of biliverdin linked peptides by diluting the sample 1:10 in methanol/TCA 0.1%.</w:t>
      </w:r>
      <w:r w:rsidR="00C42907">
        <w:rPr>
          <w:szCs w:val="24"/>
        </w:rPr>
        <w:t xml:space="preserve"> </w:t>
      </w:r>
    </w:p>
    <w:tbl>
      <w:tblPr>
        <w:tblStyle w:val="Tabellenraster"/>
        <w:tblpPr w:leftFromText="180" w:rightFromText="180" w:vertAnchor="text" w:horzAnchor="margin" w:tblpXSpec="center" w:tblpY="242"/>
        <w:tblW w:w="9255"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3"/>
        <w:gridCol w:w="1133"/>
        <w:gridCol w:w="916"/>
        <w:gridCol w:w="1231"/>
        <w:gridCol w:w="955"/>
        <w:gridCol w:w="1231"/>
        <w:gridCol w:w="1266"/>
        <w:gridCol w:w="1231"/>
        <w:gridCol w:w="49"/>
      </w:tblGrid>
      <w:tr w:rsidR="00904A88" w:rsidRPr="00D97E0B" w:rsidTr="00E564A6">
        <w:tc>
          <w:tcPr>
            <w:tcW w:w="1243" w:type="dxa"/>
            <w:tcBorders>
              <w:top w:val="single" w:sz="12" w:space="0" w:color="auto"/>
              <w:bottom w:val="single" w:sz="4" w:space="0" w:color="auto"/>
            </w:tcBorders>
          </w:tcPr>
          <w:p w:rsidR="00904A88" w:rsidRPr="00D97E0B" w:rsidRDefault="00904A88" w:rsidP="00E564A6">
            <w:pPr>
              <w:rPr>
                <w:rFonts w:ascii="Arial" w:hAnsi="Arial" w:cs="Arial"/>
                <w:b/>
                <w:sz w:val="14"/>
                <w:szCs w:val="14"/>
              </w:rPr>
            </w:pPr>
          </w:p>
        </w:tc>
        <w:tc>
          <w:tcPr>
            <w:tcW w:w="8012" w:type="dxa"/>
            <w:gridSpan w:val="8"/>
            <w:tcBorders>
              <w:top w:val="single" w:sz="12" w:space="0" w:color="auto"/>
              <w:bottom w:val="single" w:sz="4" w:space="0" w:color="auto"/>
            </w:tcBorders>
          </w:tcPr>
          <w:p w:rsidR="00904A88" w:rsidRPr="00D97E0B" w:rsidRDefault="00904A88" w:rsidP="00E564A6">
            <w:pPr>
              <w:jc w:val="center"/>
              <w:rPr>
                <w:rFonts w:ascii="Arial" w:hAnsi="Arial" w:cs="Arial"/>
                <w:b/>
                <w:sz w:val="14"/>
                <w:szCs w:val="14"/>
              </w:rPr>
            </w:pPr>
            <w:r w:rsidRPr="00D97E0B">
              <w:rPr>
                <w:rFonts w:ascii="Arial" w:hAnsi="Arial" w:cs="Arial"/>
                <w:b/>
                <w:sz w:val="14"/>
                <w:szCs w:val="14"/>
              </w:rPr>
              <w:t>Dark state recovery @ 710 nm</w:t>
            </w:r>
            <w:r w:rsidRPr="00D97E0B">
              <w:rPr>
                <w:rFonts w:ascii="Arial" w:hAnsi="Arial" w:cs="Arial"/>
                <w:b/>
                <w:sz w:val="14"/>
                <w:szCs w:val="14"/>
                <w:vertAlign w:val="superscript"/>
              </w:rPr>
              <w:t>*</w:t>
            </w:r>
          </w:p>
        </w:tc>
      </w:tr>
      <w:tr w:rsidR="00904A88" w:rsidRPr="00D97E0B" w:rsidTr="00505DE6">
        <w:trPr>
          <w:gridAfter w:val="1"/>
          <w:wAfter w:w="49" w:type="dxa"/>
        </w:trPr>
        <w:tc>
          <w:tcPr>
            <w:tcW w:w="1243" w:type="dxa"/>
            <w:tcBorders>
              <w:top w:val="single" w:sz="4" w:space="0" w:color="auto"/>
              <w:bottom w:val="single" w:sz="4" w:space="0" w:color="auto"/>
            </w:tcBorders>
            <w:vAlign w:val="center"/>
          </w:tcPr>
          <w:p w:rsidR="00904A88" w:rsidRPr="00505DE6" w:rsidRDefault="00904A88" w:rsidP="00505DE6">
            <w:pPr>
              <w:jc w:val="center"/>
              <w:rPr>
                <w:b/>
                <w:sz w:val="14"/>
                <w:szCs w:val="14"/>
              </w:rPr>
            </w:pPr>
            <w:r w:rsidRPr="00505DE6">
              <w:rPr>
                <w:b/>
                <w:sz w:val="14"/>
                <w:szCs w:val="14"/>
              </w:rPr>
              <w:t>Concentration</w:t>
            </w:r>
          </w:p>
        </w:tc>
        <w:tc>
          <w:tcPr>
            <w:tcW w:w="1133" w:type="dxa"/>
            <w:tcBorders>
              <w:top w:val="single" w:sz="4" w:space="0" w:color="auto"/>
              <w:bottom w:val="single" w:sz="4" w:space="0" w:color="auto"/>
            </w:tcBorders>
            <w:vAlign w:val="center"/>
            <w:hideMark/>
          </w:tcPr>
          <w:p w:rsidR="00904A88" w:rsidRPr="00505DE6" w:rsidRDefault="00904A88" w:rsidP="00505DE6">
            <w:pPr>
              <w:jc w:val="center"/>
              <w:rPr>
                <w:b/>
                <w:sz w:val="14"/>
                <w:szCs w:val="14"/>
              </w:rPr>
            </w:pPr>
            <w:r w:rsidRPr="00505DE6">
              <w:rPr>
                <w:b/>
                <w:sz w:val="14"/>
                <w:szCs w:val="14"/>
              </w:rPr>
              <w:t>Construct</w:t>
            </w:r>
          </w:p>
        </w:tc>
        <w:tc>
          <w:tcPr>
            <w:tcW w:w="916" w:type="dxa"/>
            <w:tcBorders>
              <w:top w:val="single" w:sz="4" w:space="0" w:color="auto"/>
              <w:bottom w:val="single" w:sz="4" w:space="0" w:color="auto"/>
            </w:tcBorders>
            <w:vAlign w:val="center"/>
            <w:hideMark/>
          </w:tcPr>
          <w:p w:rsidR="00904A88" w:rsidRPr="00505DE6" w:rsidRDefault="00904A88" w:rsidP="00505DE6">
            <w:pPr>
              <w:jc w:val="center"/>
              <w:rPr>
                <w:b/>
                <w:sz w:val="14"/>
                <w:szCs w:val="14"/>
              </w:rPr>
            </w:pPr>
            <w:r w:rsidRPr="00505DE6">
              <w:rPr>
                <w:b/>
                <w:sz w:val="14"/>
                <w:szCs w:val="14"/>
              </w:rPr>
              <w:t>τ</w:t>
            </w:r>
            <w:r w:rsidRPr="00505DE6">
              <w:rPr>
                <w:b/>
                <w:sz w:val="14"/>
                <w:szCs w:val="14"/>
                <w:vertAlign w:val="subscript"/>
              </w:rPr>
              <w:t>1</w:t>
            </w:r>
            <w:r w:rsidRPr="00505DE6">
              <w:rPr>
                <w:b/>
                <w:sz w:val="14"/>
                <w:szCs w:val="14"/>
              </w:rPr>
              <w:t xml:space="preserve"> (s)</w:t>
            </w:r>
          </w:p>
        </w:tc>
        <w:tc>
          <w:tcPr>
            <w:tcW w:w="1231" w:type="dxa"/>
            <w:tcBorders>
              <w:top w:val="single" w:sz="4" w:space="0" w:color="auto"/>
              <w:bottom w:val="single" w:sz="4" w:space="0" w:color="auto"/>
            </w:tcBorders>
            <w:vAlign w:val="center"/>
            <w:hideMark/>
          </w:tcPr>
          <w:p w:rsidR="00904A88" w:rsidRPr="00505DE6" w:rsidRDefault="00904A88" w:rsidP="00505DE6">
            <w:pPr>
              <w:jc w:val="center"/>
              <w:rPr>
                <w:b/>
                <w:sz w:val="14"/>
                <w:szCs w:val="14"/>
              </w:rPr>
            </w:pPr>
            <w:proofErr w:type="gramStart"/>
            <w:r w:rsidRPr="00505DE6">
              <w:rPr>
                <w:b/>
                <w:sz w:val="14"/>
                <w:szCs w:val="14"/>
              </w:rPr>
              <w:t>relative</w:t>
            </w:r>
            <w:proofErr w:type="gramEnd"/>
            <w:r w:rsidRPr="00505DE6">
              <w:rPr>
                <w:b/>
                <w:sz w:val="14"/>
                <w:szCs w:val="14"/>
              </w:rPr>
              <w:t xml:space="preserve"> A</w:t>
            </w:r>
            <w:r w:rsidRPr="00505DE6">
              <w:rPr>
                <w:b/>
                <w:sz w:val="14"/>
                <w:szCs w:val="14"/>
                <w:vertAlign w:val="subscript"/>
              </w:rPr>
              <w:t>1</w:t>
            </w:r>
            <w:r w:rsidRPr="00505DE6">
              <w:rPr>
                <w:b/>
                <w:sz w:val="14"/>
                <w:szCs w:val="14"/>
              </w:rPr>
              <w:t xml:space="preserve"> (%)</w:t>
            </w:r>
          </w:p>
        </w:tc>
        <w:tc>
          <w:tcPr>
            <w:tcW w:w="955" w:type="dxa"/>
            <w:tcBorders>
              <w:top w:val="single" w:sz="4" w:space="0" w:color="auto"/>
              <w:bottom w:val="single" w:sz="4" w:space="0" w:color="auto"/>
            </w:tcBorders>
            <w:vAlign w:val="center"/>
            <w:hideMark/>
          </w:tcPr>
          <w:p w:rsidR="00904A88" w:rsidRPr="00505DE6" w:rsidRDefault="00904A88" w:rsidP="00505DE6">
            <w:pPr>
              <w:jc w:val="center"/>
              <w:rPr>
                <w:b/>
                <w:sz w:val="14"/>
                <w:szCs w:val="14"/>
              </w:rPr>
            </w:pPr>
            <w:r w:rsidRPr="00505DE6">
              <w:rPr>
                <w:b/>
                <w:sz w:val="14"/>
                <w:szCs w:val="14"/>
              </w:rPr>
              <w:t>τ</w:t>
            </w:r>
            <w:r w:rsidRPr="00505DE6">
              <w:rPr>
                <w:b/>
                <w:sz w:val="14"/>
                <w:szCs w:val="14"/>
                <w:vertAlign w:val="subscript"/>
              </w:rPr>
              <w:t>2</w:t>
            </w:r>
            <w:r w:rsidRPr="00505DE6">
              <w:rPr>
                <w:b/>
                <w:sz w:val="14"/>
                <w:szCs w:val="14"/>
              </w:rPr>
              <w:t xml:space="preserve"> (s)</w:t>
            </w:r>
          </w:p>
        </w:tc>
        <w:tc>
          <w:tcPr>
            <w:tcW w:w="1231" w:type="dxa"/>
            <w:tcBorders>
              <w:top w:val="single" w:sz="4" w:space="0" w:color="auto"/>
              <w:bottom w:val="single" w:sz="4" w:space="0" w:color="auto"/>
            </w:tcBorders>
            <w:vAlign w:val="center"/>
            <w:hideMark/>
          </w:tcPr>
          <w:p w:rsidR="00904A88" w:rsidRPr="00505DE6" w:rsidRDefault="00904A88" w:rsidP="00505DE6">
            <w:pPr>
              <w:jc w:val="center"/>
              <w:rPr>
                <w:b/>
                <w:sz w:val="14"/>
                <w:szCs w:val="14"/>
              </w:rPr>
            </w:pPr>
            <w:proofErr w:type="gramStart"/>
            <w:r w:rsidRPr="00505DE6">
              <w:rPr>
                <w:b/>
                <w:sz w:val="14"/>
                <w:szCs w:val="14"/>
              </w:rPr>
              <w:t>relative</w:t>
            </w:r>
            <w:proofErr w:type="gramEnd"/>
            <w:r w:rsidRPr="00505DE6">
              <w:rPr>
                <w:b/>
                <w:sz w:val="14"/>
                <w:szCs w:val="14"/>
              </w:rPr>
              <w:t xml:space="preserve"> A</w:t>
            </w:r>
            <w:r w:rsidRPr="00505DE6">
              <w:rPr>
                <w:b/>
                <w:sz w:val="14"/>
                <w:szCs w:val="14"/>
                <w:vertAlign w:val="subscript"/>
              </w:rPr>
              <w:t>2</w:t>
            </w:r>
            <w:r w:rsidRPr="00505DE6">
              <w:rPr>
                <w:b/>
                <w:sz w:val="14"/>
                <w:szCs w:val="14"/>
              </w:rPr>
              <w:t xml:space="preserve"> (%)</w:t>
            </w:r>
          </w:p>
        </w:tc>
        <w:tc>
          <w:tcPr>
            <w:tcW w:w="1266" w:type="dxa"/>
            <w:tcBorders>
              <w:top w:val="single" w:sz="4" w:space="0" w:color="auto"/>
              <w:bottom w:val="single" w:sz="4" w:space="0" w:color="auto"/>
            </w:tcBorders>
            <w:vAlign w:val="center"/>
          </w:tcPr>
          <w:p w:rsidR="00904A88" w:rsidRPr="00505DE6" w:rsidRDefault="00505DE6" w:rsidP="00505DE6">
            <w:pPr>
              <w:jc w:val="center"/>
              <w:rPr>
                <w:b/>
                <w:sz w:val="14"/>
                <w:szCs w:val="14"/>
              </w:rPr>
            </w:pPr>
            <w:r w:rsidRPr="00505DE6">
              <w:rPr>
                <w:b/>
                <w:sz w:val="14"/>
                <w:szCs w:val="14"/>
              </w:rPr>
              <w:t>τ</w:t>
            </w:r>
            <w:r w:rsidR="00904A88" w:rsidRPr="00505DE6">
              <w:rPr>
                <w:b/>
                <w:sz w:val="14"/>
                <w:szCs w:val="14"/>
                <w:vertAlign w:val="subscript"/>
              </w:rPr>
              <w:t>3</w:t>
            </w:r>
            <w:r w:rsidR="00904A88" w:rsidRPr="00505DE6">
              <w:rPr>
                <w:b/>
                <w:sz w:val="14"/>
                <w:szCs w:val="14"/>
              </w:rPr>
              <w:t xml:space="preserve"> (s)</w:t>
            </w:r>
          </w:p>
        </w:tc>
        <w:tc>
          <w:tcPr>
            <w:tcW w:w="1231" w:type="dxa"/>
            <w:tcBorders>
              <w:top w:val="single" w:sz="4" w:space="0" w:color="auto"/>
              <w:bottom w:val="single" w:sz="4" w:space="0" w:color="auto"/>
            </w:tcBorders>
            <w:vAlign w:val="center"/>
          </w:tcPr>
          <w:p w:rsidR="00904A88" w:rsidRPr="00505DE6" w:rsidRDefault="00904A88" w:rsidP="00505DE6">
            <w:pPr>
              <w:jc w:val="center"/>
              <w:rPr>
                <w:b/>
                <w:sz w:val="14"/>
                <w:szCs w:val="14"/>
              </w:rPr>
            </w:pPr>
            <w:proofErr w:type="gramStart"/>
            <w:r w:rsidRPr="00505DE6">
              <w:rPr>
                <w:b/>
                <w:sz w:val="14"/>
                <w:szCs w:val="14"/>
              </w:rPr>
              <w:t>relative</w:t>
            </w:r>
            <w:proofErr w:type="gramEnd"/>
            <w:r w:rsidRPr="00505DE6">
              <w:rPr>
                <w:b/>
                <w:sz w:val="14"/>
                <w:szCs w:val="14"/>
              </w:rPr>
              <w:t xml:space="preserve"> A</w:t>
            </w:r>
            <w:r w:rsidRPr="00505DE6">
              <w:rPr>
                <w:b/>
                <w:sz w:val="14"/>
                <w:szCs w:val="14"/>
                <w:vertAlign w:val="subscript"/>
              </w:rPr>
              <w:t>3</w:t>
            </w:r>
            <w:r w:rsidRPr="00505DE6">
              <w:rPr>
                <w:b/>
                <w:sz w:val="14"/>
                <w:szCs w:val="14"/>
              </w:rPr>
              <w:t xml:space="preserve"> (%)</w:t>
            </w:r>
          </w:p>
        </w:tc>
      </w:tr>
      <w:tr w:rsidR="00904A88" w:rsidRPr="00D97E0B" w:rsidTr="00E564A6">
        <w:trPr>
          <w:gridAfter w:val="1"/>
          <w:wAfter w:w="49" w:type="dxa"/>
        </w:trPr>
        <w:tc>
          <w:tcPr>
            <w:tcW w:w="1243" w:type="dxa"/>
            <w:vMerge w:val="restart"/>
            <w:tcBorders>
              <w:top w:val="single" w:sz="4" w:space="0" w:color="auto"/>
            </w:tcBorders>
            <w:vAlign w:val="center"/>
          </w:tcPr>
          <w:p w:rsidR="00904A88" w:rsidRPr="00132B0D" w:rsidRDefault="00904A88" w:rsidP="00E564A6">
            <w:pPr>
              <w:jc w:val="center"/>
              <w:rPr>
                <w:rFonts w:ascii="Arial" w:hAnsi="Arial" w:cs="Arial"/>
                <w:sz w:val="14"/>
                <w:szCs w:val="14"/>
              </w:rPr>
            </w:pPr>
            <w:r w:rsidRPr="00132B0D">
              <w:rPr>
                <w:rFonts w:ascii="Arial" w:hAnsi="Arial" w:cs="Arial"/>
                <w:sz w:val="14"/>
                <w:szCs w:val="14"/>
              </w:rPr>
              <w:t xml:space="preserve">2 </w:t>
            </w:r>
            <w:r w:rsidRPr="00132B0D">
              <w:rPr>
                <w:rFonts w:ascii="Calibri" w:hAnsi="Calibri" w:cs="Arial"/>
                <w:sz w:val="14"/>
                <w:szCs w:val="14"/>
              </w:rPr>
              <w:t>μ</w:t>
            </w:r>
            <w:r w:rsidRPr="00132B0D">
              <w:rPr>
                <w:rFonts w:ascii="Arial" w:hAnsi="Arial" w:cs="Arial"/>
                <w:sz w:val="14"/>
                <w:szCs w:val="14"/>
              </w:rPr>
              <w:t>M</w:t>
            </w:r>
          </w:p>
        </w:tc>
        <w:tc>
          <w:tcPr>
            <w:tcW w:w="1133" w:type="dxa"/>
            <w:tcBorders>
              <w:top w:val="single" w:sz="4" w:space="0" w:color="auto"/>
            </w:tcBorders>
            <w:hideMark/>
          </w:tcPr>
          <w:p w:rsidR="00904A88" w:rsidRPr="001D6400" w:rsidRDefault="00904A88" w:rsidP="00E564A6">
            <w:pPr>
              <w:rPr>
                <w:rFonts w:ascii="Arial" w:hAnsi="Arial" w:cs="Arial"/>
                <w:sz w:val="14"/>
                <w:szCs w:val="14"/>
              </w:rPr>
            </w:pPr>
            <w:r w:rsidRPr="001D6400">
              <w:rPr>
                <w:rFonts w:ascii="Arial" w:hAnsi="Arial" w:cs="Arial"/>
                <w:i/>
                <w:sz w:val="14"/>
                <w:szCs w:val="14"/>
              </w:rPr>
              <w:t>Is</w:t>
            </w:r>
            <w:r w:rsidRPr="001D6400">
              <w:rPr>
                <w:rFonts w:ascii="Arial" w:hAnsi="Arial" w:cs="Arial"/>
                <w:sz w:val="14"/>
                <w:szCs w:val="14"/>
              </w:rPr>
              <w:t xml:space="preserve">PadC  </w:t>
            </w:r>
          </w:p>
        </w:tc>
        <w:tc>
          <w:tcPr>
            <w:tcW w:w="916" w:type="dxa"/>
            <w:tcBorders>
              <w:top w:val="single" w:sz="4" w:space="0" w:color="auto"/>
            </w:tcBorders>
            <w:vAlign w:val="center"/>
            <w:hideMark/>
          </w:tcPr>
          <w:p w:rsidR="00904A88" w:rsidRPr="00D97E0B" w:rsidRDefault="00904A88" w:rsidP="00E564A6">
            <w:pPr>
              <w:jc w:val="center"/>
              <w:rPr>
                <w:rFonts w:ascii="Arial" w:hAnsi="Arial" w:cs="Arial"/>
                <w:b/>
                <w:color w:val="FF0000"/>
                <w:sz w:val="14"/>
                <w:szCs w:val="14"/>
              </w:rPr>
            </w:pPr>
            <w:r>
              <w:rPr>
                <w:rFonts w:ascii="Arial" w:hAnsi="Arial" w:cs="Arial"/>
                <w:sz w:val="14"/>
                <w:szCs w:val="14"/>
              </w:rPr>
              <w:t>18.5 ± 0.4</w:t>
            </w:r>
          </w:p>
        </w:tc>
        <w:tc>
          <w:tcPr>
            <w:tcW w:w="1231" w:type="dxa"/>
            <w:tcBorders>
              <w:top w:val="single" w:sz="4" w:space="0" w:color="auto"/>
            </w:tcBorders>
            <w:vAlign w:val="center"/>
            <w:hideMark/>
          </w:tcPr>
          <w:p w:rsidR="00904A88" w:rsidRPr="00D97E0B" w:rsidRDefault="00904A88" w:rsidP="00E564A6">
            <w:pPr>
              <w:jc w:val="center"/>
              <w:rPr>
                <w:rFonts w:ascii="Arial" w:hAnsi="Arial" w:cs="Arial"/>
                <w:b/>
                <w:color w:val="FF0000"/>
                <w:sz w:val="14"/>
                <w:szCs w:val="14"/>
              </w:rPr>
            </w:pPr>
            <w:r>
              <w:rPr>
                <w:rFonts w:ascii="Arial" w:hAnsi="Arial" w:cs="Arial"/>
                <w:sz w:val="14"/>
                <w:szCs w:val="14"/>
              </w:rPr>
              <w:t>34</w:t>
            </w:r>
            <w:r w:rsidRPr="00D97E0B">
              <w:rPr>
                <w:rFonts w:ascii="Arial" w:hAnsi="Arial" w:cs="Arial"/>
                <w:sz w:val="14"/>
                <w:szCs w:val="14"/>
              </w:rPr>
              <w:t xml:space="preserve"> </w:t>
            </w:r>
            <w:r>
              <w:rPr>
                <w:rFonts w:ascii="Arial" w:hAnsi="Arial" w:cs="Arial"/>
                <w:bCs/>
                <w:sz w:val="14"/>
                <w:szCs w:val="14"/>
              </w:rPr>
              <w:t>± 0.5</w:t>
            </w:r>
          </w:p>
        </w:tc>
        <w:tc>
          <w:tcPr>
            <w:tcW w:w="955" w:type="dxa"/>
            <w:tcBorders>
              <w:top w:val="single" w:sz="4" w:space="0" w:color="auto"/>
            </w:tcBorders>
            <w:vAlign w:val="center"/>
            <w:hideMark/>
          </w:tcPr>
          <w:p w:rsidR="00904A88" w:rsidRPr="00D97E0B" w:rsidRDefault="00904A88" w:rsidP="00E564A6">
            <w:pPr>
              <w:jc w:val="center"/>
              <w:rPr>
                <w:rFonts w:ascii="Arial" w:hAnsi="Arial" w:cs="Arial"/>
                <w:b/>
                <w:color w:val="FF0000"/>
                <w:sz w:val="14"/>
                <w:szCs w:val="14"/>
              </w:rPr>
            </w:pPr>
            <w:r>
              <w:rPr>
                <w:rFonts w:ascii="Arial" w:hAnsi="Arial" w:cs="Arial"/>
                <w:sz w:val="14"/>
                <w:szCs w:val="14"/>
              </w:rPr>
              <w:t>100.0 ± 0.7</w:t>
            </w:r>
          </w:p>
        </w:tc>
        <w:tc>
          <w:tcPr>
            <w:tcW w:w="1231" w:type="dxa"/>
            <w:tcBorders>
              <w:top w:val="single" w:sz="4" w:space="0" w:color="auto"/>
            </w:tcBorders>
            <w:vAlign w:val="center"/>
            <w:hideMark/>
          </w:tcPr>
          <w:p w:rsidR="00904A88" w:rsidRPr="00D97E0B" w:rsidRDefault="00904A88" w:rsidP="00E564A6">
            <w:pPr>
              <w:jc w:val="center"/>
              <w:rPr>
                <w:rFonts w:ascii="Arial" w:hAnsi="Arial" w:cs="Arial"/>
                <w:b/>
                <w:color w:val="FF0000"/>
                <w:sz w:val="14"/>
                <w:szCs w:val="14"/>
              </w:rPr>
            </w:pPr>
            <w:r>
              <w:rPr>
                <w:rFonts w:ascii="Arial" w:hAnsi="Arial" w:cs="Arial"/>
                <w:sz w:val="14"/>
                <w:szCs w:val="14"/>
              </w:rPr>
              <w:t>66</w:t>
            </w:r>
            <w:r w:rsidRPr="00D97E0B">
              <w:rPr>
                <w:rFonts w:ascii="Arial" w:hAnsi="Arial" w:cs="Arial"/>
                <w:color w:val="FF0000"/>
                <w:sz w:val="14"/>
                <w:szCs w:val="14"/>
              </w:rPr>
              <w:t xml:space="preserve"> </w:t>
            </w:r>
            <w:r>
              <w:rPr>
                <w:rFonts w:ascii="Arial" w:hAnsi="Arial" w:cs="Arial"/>
                <w:bCs/>
                <w:sz w:val="14"/>
                <w:szCs w:val="14"/>
              </w:rPr>
              <w:t>± 0.5</w:t>
            </w:r>
          </w:p>
        </w:tc>
        <w:tc>
          <w:tcPr>
            <w:tcW w:w="1266" w:type="dxa"/>
            <w:tcBorders>
              <w:top w:val="single" w:sz="4" w:space="0" w:color="auto"/>
            </w:tcBorders>
          </w:tcPr>
          <w:p w:rsidR="00904A88" w:rsidRDefault="00904A88" w:rsidP="00E564A6">
            <w:pPr>
              <w:jc w:val="center"/>
              <w:rPr>
                <w:rFonts w:ascii="Arial" w:hAnsi="Arial" w:cs="Arial"/>
                <w:sz w:val="14"/>
                <w:szCs w:val="14"/>
              </w:rPr>
            </w:pPr>
            <w:r>
              <w:rPr>
                <w:rFonts w:ascii="Arial" w:hAnsi="Arial" w:cs="Arial"/>
                <w:sz w:val="14"/>
                <w:szCs w:val="14"/>
              </w:rPr>
              <w:t>-</w:t>
            </w:r>
          </w:p>
        </w:tc>
        <w:tc>
          <w:tcPr>
            <w:tcW w:w="1231" w:type="dxa"/>
            <w:tcBorders>
              <w:top w:val="single" w:sz="4" w:space="0" w:color="auto"/>
            </w:tcBorders>
          </w:tcPr>
          <w:p w:rsidR="00904A88" w:rsidRDefault="00904A88" w:rsidP="00E564A6">
            <w:pPr>
              <w:jc w:val="center"/>
              <w:rPr>
                <w:rFonts w:ascii="Arial" w:hAnsi="Arial" w:cs="Arial"/>
                <w:sz w:val="14"/>
                <w:szCs w:val="14"/>
              </w:rPr>
            </w:pPr>
            <w:r>
              <w:rPr>
                <w:rFonts w:ascii="Arial" w:hAnsi="Arial" w:cs="Arial"/>
                <w:sz w:val="14"/>
                <w:szCs w:val="14"/>
              </w:rPr>
              <w:t>-</w:t>
            </w:r>
          </w:p>
        </w:tc>
      </w:tr>
      <w:tr w:rsidR="00904A88" w:rsidRPr="00D97E0B" w:rsidTr="00E564A6">
        <w:trPr>
          <w:gridAfter w:val="1"/>
          <w:wAfter w:w="49" w:type="dxa"/>
        </w:trPr>
        <w:tc>
          <w:tcPr>
            <w:tcW w:w="1243" w:type="dxa"/>
            <w:vMerge/>
            <w:vAlign w:val="center"/>
          </w:tcPr>
          <w:p w:rsidR="00904A88" w:rsidRPr="00132B0D" w:rsidRDefault="00904A88" w:rsidP="00E564A6">
            <w:pPr>
              <w:jc w:val="center"/>
              <w:rPr>
                <w:rFonts w:ascii="Arial" w:hAnsi="Arial" w:cs="Arial"/>
                <w:sz w:val="14"/>
                <w:szCs w:val="14"/>
              </w:rPr>
            </w:pPr>
          </w:p>
        </w:tc>
        <w:tc>
          <w:tcPr>
            <w:tcW w:w="1133" w:type="dxa"/>
            <w:hideMark/>
          </w:tcPr>
          <w:p w:rsidR="00904A88" w:rsidRPr="001D6400" w:rsidRDefault="00904A88" w:rsidP="00E564A6">
            <w:pPr>
              <w:rPr>
                <w:rFonts w:ascii="Arial" w:hAnsi="Arial" w:cs="Arial"/>
                <w:i/>
                <w:sz w:val="14"/>
                <w:szCs w:val="14"/>
                <w:lang w:val="de-DE"/>
              </w:rPr>
            </w:pPr>
            <w:r w:rsidRPr="001D6400">
              <w:rPr>
                <w:rFonts w:ascii="Arial" w:hAnsi="Arial" w:cs="Arial"/>
                <w:i/>
                <w:sz w:val="14"/>
                <w:szCs w:val="14"/>
              </w:rPr>
              <w:t>Is</w:t>
            </w:r>
            <w:r w:rsidRPr="001D6400">
              <w:rPr>
                <w:rFonts w:ascii="Arial" w:hAnsi="Arial" w:cs="Arial"/>
                <w:sz w:val="14"/>
                <w:szCs w:val="14"/>
              </w:rPr>
              <w:t>PadC</w:t>
            </w:r>
            <w:r w:rsidRPr="001D6400">
              <w:rPr>
                <w:rFonts w:ascii="Arial" w:hAnsi="Arial" w:cs="Arial"/>
                <w:sz w:val="14"/>
                <w:szCs w:val="14"/>
                <w:vertAlign w:val="superscript"/>
              </w:rPr>
              <w:t>Reg1</w:t>
            </w:r>
          </w:p>
        </w:tc>
        <w:tc>
          <w:tcPr>
            <w:tcW w:w="916" w:type="dxa"/>
            <w:hideMark/>
          </w:tcPr>
          <w:p w:rsidR="00904A88" w:rsidRPr="00D97E0B" w:rsidRDefault="00904A88" w:rsidP="00E564A6">
            <w:pPr>
              <w:jc w:val="center"/>
              <w:rPr>
                <w:rFonts w:ascii="Arial" w:hAnsi="Arial" w:cs="Arial"/>
                <w:color w:val="FF0000"/>
                <w:sz w:val="14"/>
                <w:szCs w:val="14"/>
              </w:rPr>
            </w:pPr>
            <w:r>
              <w:rPr>
                <w:rFonts w:ascii="Arial" w:hAnsi="Arial" w:cs="Arial"/>
                <w:sz w:val="14"/>
                <w:szCs w:val="14"/>
              </w:rPr>
              <w:t>18.2 ± 0.3</w:t>
            </w:r>
          </w:p>
        </w:tc>
        <w:tc>
          <w:tcPr>
            <w:tcW w:w="1231" w:type="dxa"/>
            <w:hideMark/>
          </w:tcPr>
          <w:p w:rsidR="00904A88" w:rsidRPr="00D97E0B" w:rsidRDefault="00904A88" w:rsidP="00E564A6">
            <w:pPr>
              <w:jc w:val="center"/>
              <w:rPr>
                <w:rFonts w:ascii="Arial" w:hAnsi="Arial" w:cs="Arial"/>
                <w:color w:val="FF0000"/>
                <w:sz w:val="14"/>
                <w:szCs w:val="14"/>
              </w:rPr>
            </w:pPr>
            <w:r>
              <w:rPr>
                <w:rFonts w:ascii="Arial" w:hAnsi="Arial" w:cs="Arial"/>
                <w:sz w:val="14"/>
                <w:szCs w:val="14"/>
              </w:rPr>
              <w:t>37 ± 0.5</w:t>
            </w:r>
          </w:p>
        </w:tc>
        <w:tc>
          <w:tcPr>
            <w:tcW w:w="955" w:type="dxa"/>
            <w:hideMark/>
          </w:tcPr>
          <w:p w:rsidR="00904A88" w:rsidRPr="00D97E0B" w:rsidRDefault="00904A88" w:rsidP="00E564A6">
            <w:pPr>
              <w:jc w:val="center"/>
              <w:rPr>
                <w:rFonts w:ascii="Arial" w:hAnsi="Arial" w:cs="Arial"/>
                <w:color w:val="FF0000"/>
                <w:sz w:val="14"/>
                <w:szCs w:val="14"/>
              </w:rPr>
            </w:pPr>
            <w:r>
              <w:rPr>
                <w:rFonts w:ascii="Arial" w:hAnsi="Arial" w:cs="Arial"/>
                <w:sz w:val="14"/>
                <w:szCs w:val="14"/>
              </w:rPr>
              <w:t>141.5 ± 0.8</w:t>
            </w:r>
          </w:p>
        </w:tc>
        <w:tc>
          <w:tcPr>
            <w:tcW w:w="1231" w:type="dxa"/>
            <w:hideMark/>
          </w:tcPr>
          <w:p w:rsidR="00904A88" w:rsidRPr="00D97E0B" w:rsidRDefault="00904A88" w:rsidP="00E564A6">
            <w:pPr>
              <w:jc w:val="center"/>
              <w:rPr>
                <w:rFonts w:ascii="Arial" w:hAnsi="Arial" w:cs="Arial"/>
                <w:color w:val="FF0000"/>
                <w:sz w:val="14"/>
                <w:szCs w:val="14"/>
              </w:rPr>
            </w:pPr>
            <w:r>
              <w:rPr>
                <w:rFonts w:ascii="Arial" w:hAnsi="Arial" w:cs="Arial"/>
                <w:sz w:val="14"/>
                <w:szCs w:val="14"/>
              </w:rPr>
              <w:t>48</w:t>
            </w:r>
            <w:r w:rsidRPr="00D97E0B">
              <w:rPr>
                <w:rFonts w:ascii="Arial" w:hAnsi="Arial" w:cs="Arial"/>
                <w:sz w:val="14"/>
                <w:szCs w:val="14"/>
              </w:rPr>
              <w:t xml:space="preserve"> ± 0.4</w:t>
            </w:r>
          </w:p>
        </w:tc>
        <w:tc>
          <w:tcPr>
            <w:tcW w:w="1266" w:type="dxa"/>
          </w:tcPr>
          <w:p w:rsidR="00904A88" w:rsidRDefault="00904A88" w:rsidP="00E564A6">
            <w:pPr>
              <w:jc w:val="center"/>
              <w:rPr>
                <w:rFonts w:ascii="Arial" w:hAnsi="Arial" w:cs="Arial"/>
                <w:sz w:val="14"/>
                <w:szCs w:val="14"/>
              </w:rPr>
            </w:pPr>
            <w:r>
              <w:rPr>
                <w:rFonts w:ascii="Arial" w:hAnsi="Arial" w:cs="Arial"/>
                <w:sz w:val="14"/>
                <w:szCs w:val="14"/>
              </w:rPr>
              <w:t>6,930 ± 50</w:t>
            </w:r>
          </w:p>
        </w:tc>
        <w:tc>
          <w:tcPr>
            <w:tcW w:w="1231" w:type="dxa"/>
          </w:tcPr>
          <w:p w:rsidR="00904A88" w:rsidRDefault="00904A88" w:rsidP="00E564A6">
            <w:pPr>
              <w:jc w:val="center"/>
              <w:rPr>
                <w:rFonts w:ascii="Arial" w:hAnsi="Arial" w:cs="Arial"/>
                <w:sz w:val="14"/>
                <w:szCs w:val="14"/>
              </w:rPr>
            </w:pPr>
            <w:r>
              <w:rPr>
                <w:rFonts w:ascii="Arial" w:hAnsi="Arial" w:cs="Arial"/>
                <w:sz w:val="14"/>
                <w:szCs w:val="14"/>
              </w:rPr>
              <w:t xml:space="preserve">15 ± 0.5 </w:t>
            </w:r>
          </w:p>
        </w:tc>
      </w:tr>
      <w:tr w:rsidR="00904A88" w:rsidRPr="00D97E0B" w:rsidTr="00E564A6">
        <w:trPr>
          <w:gridAfter w:val="1"/>
          <w:wAfter w:w="49" w:type="dxa"/>
        </w:trPr>
        <w:tc>
          <w:tcPr>
            <w:tcW w:w="1243" w:type="dxa"/>
            <w:vMerge/>
            <w:vAlign w:val="center"/>
          </w:tcPr>
          <w:p w:rsidR="00904A88" w:rsidRPr="00132B0D" w:rsidRDefault="00904A88" w:rsidP="00E564A6">
            <w:pPr>
              <w:jc w:val="center"/>
              <w:rPr>
                <w:rFonts w:ascii="Arial" w:hAnsi="Arial" w:cs="Arial"/>
                <w:sz w:val="14"/>
                <w:szCs w:val="14"/>
              </w:rPr>
            </w:pPr>
          </w:p>
        </w:tc>
        <w:tc>
          <w:tcPr>
            <w:tcW w:w="1133" w:type="dxa"/>
            <w:hideMark/>
          </w:tcPr>
          <w:p w:rsidR="00904A88" w:rsidRPr="001D6400" w:rsidRDefault="00904A88" w:rsidP="00E564A6">
            <w:pPr>
              <w:rPr>
                <w:rFonts w:ascii="Arial" w:hAnsi="Arial" w:cs="Arial"/>
                <w:i/>
                <w:sz w:val="14"/>
                <w:szCs w:val="14"/>
              </w:rPr>
            </w:pPr>
            <w:r w:rsidRPr="001D6400">
              <w:rPr>
                <w:rFonts w:ascii="Arial" w:hAnsi="Arial" w:cs="Arial"/>
                <w:i/>
                <w:sz w:val="14"/>
                <w:szCs w:val="14"/>
              </w:rPr>
              <w:t>Is</w:t>
            </w:r>
            <w:r w:rsidRPr="001D6400">
              <w:rPr>
                <w:rFonts w:ascii="Arial" w:hAnsi="Arial" w:cs="Arial"/>
                <w:sz w:val="14"/>
                <w:szCs w:val="14"/>
              </w:rPr>
              <w:t>PadC</w:t>
            </w:r>
            <w:r w:rsidRPr="001D6400">
              <w:rPr>
                <w:rFonts w:ascii="Arial" w:hAnsi="Arial" w:cs="Arial"/>
                <w:sz w:val="14"/>
                <w:szCs w:val="14"/>
                <w:vertAlign w:val="superscript"/>
              </w:rPr>
              <w:t>Reg2</w:t>
            </w:r>
          </w:p>
        </w:tc>
        <w:tc>
          <w:tcPr>
            <w:tcW w:w="916" w:type="dxa"/>
            <w:hideMark/>
          </w:tcPr>
          <w:p w:rsidR="00904A88" w:rsidRPr="00D97E0B" w:rsidRDefault="00904A88" w:rsidP="00E564A6">
            <w:pPr>
              <w:jc w:val="center"/>
              <w:rPr>
                <w:rFonts w:ascii="Arial" w:hAnsi="Arial" w:cs="Arial"/>
                <w:color w:val="FF0000"/>
                <w:sz w:val="14"/>
                <w:szCs w:val="14"/>
              </w:rPr>
            </w:pPr>
            <w:r>
              <w:rPr>
                <w:rFonts w:ascii="Arial" w:hAnsi="Arial" w:cs="Arial"/>
                <w:sz w:val="14"/>
                <w:szCs w:val="14"/>
              </w:rPr>
              <w:t>28.5 ± 0.3</w:t>
            </w:r>
          </w:p>
        </w:tc>
        <w:tc>
          <w:tcPr>
            <w:tcW w:w="1231" w:type="dxa"/>
            <w:hideMark/>
          </w:tcPr>
          <w:p w:rsidR="00904A88" w:rsidRPr="00D97E0B" w:rsidRDefault="00904A88" w:rsidP="00E564A6">
            <w:pPr>
              <w:jc w:val="center"/>
              <w:rPr>
                <w:rFonts w:ascii="Arial" w:hAnsi="Arial" w:cs="Arial"/>
                <w:color w:val="FF0000"/>
                <w:sz w:val="14"/>
                <w:szCs w:val="14"/>
              </w:rPr>
            </w:pPr>
            <w:r>
              <w:rPr>
                <w:rFonts w:ascii="Arial" w:hAnsi="Arial" w:cs="Arial"/>
                <w:sz w:val="14"/>
                <w:szCs w:val="14"/>
              </w:rPr>
              <w:t>37 ± 0.9</w:t>
            </w:r>
          </w:p>
        </w:tc>
        <w:tc>
          <w:tcPr>
            <w:tcW w:w="955" w:type="dxa"/>
            <w:hideMark/>
          </w:tcPr>
          <w:p w:rsidR="00904A88" w:rsidRPr="00D97E0B" w:rsidRDefault="00904A88" w:rsidP="00E564A6">
            <w:pPr>
              <w:jc w:val="center"/>
              <w:rPr>
                <w:rFonts w:ascii="Arial" w:hAnsi="Arial" w:cs="Arial"/>
                <w:color w:val="FF0000"/>
                <w:sz w:val="14"/>
                <w:szCs w:val="14"/>
              </w:rPr>
            </w:pPr>
            <w:r>
              <w:rPr>
                <w:rFonts w:ascii="Arial" w:hAnsi="Arial" w:cs="Arial"/>
                <w:sz w:val="14"/>
                <w:szCs w:val="14"/>
              </w:rPr>
              <w:t>3</w:t>
            </w:r>
            <w:r w:rsidR="00D41AF9">
              <w:rPr>
                <w:rFonts w:ascii="Arial" w:hAnsi="Arial" w:cs="Arial"/>
                <w:sz w:val="14"/>
                <w:szCs w:val="14"/>
              </w:rPr>
              <w:t>,</w:t>
            </w:r>
            <w:r>
              <w:rPr>
                <w:rFonts w:ascii="Arial" w:hAnsi="Arial" w:cs="Arial"/>
                <w:sz w:val="14"/>
                <w:szCs w:val="14"/>
              </w:rPr>
              <w:t>480 ± 4</w:t>
            </w:r>
          </w:p>
        </w:tc>
        <w:tc>
          <w:tcPr>
            <w:tcW w:w="1231" w:type="dxa"/>
            <w:hideMark/>
          </w:tcPr>
          <w:p w:rsidR="00904A88" w:rsidRPr="00D97E0B" w:rsidRDefault="00904A88" w:rsidP="00E564A6">
            <w:pPr>
              <w:jc w:val="center"/>
              <w:rPr>
                <w:rFonts w:ascii="Arial" w:hAnsi="Arial" w:cs="Arial"/>
                <w:color w:val="FF0000"/>
                <w:sz w:val="14"/>
                <w:szCs w:val="14"/>
              </w:rPr>
            </w:pPr>
            <w:r>
              <w:rPr>
                <w:rFonts w:ascii="Arial" w:hAnsi="Arial" w:cs="Arial"/>
                <w:sz w:val="14"/>
                <w:szCs w:val="14"/>
              </w:rPr>
              <w:t>63 ± 0.8</w:t>
            </w:r>
          </w:p>
        </w:tc>
        <w:tc>
          <w:tcPr>
            <w:tcW w:w="1266" w:type="dxa"/>
          </w:tcPr>
          <w:p w:rsidR="00904A88" w:rsidRDefault="00904A88" w:rsidP="00E564A6">
            <w:pPr>
              <w:jc w:val="center"/>
              <w:rPr>
                <w:rFonts w:ascii="Arial" w:hAnsi="Arial" w:cs="Arial"/>
                <w:sz w:val="14"/>
                <w:szCs w:val="14"/>
              </w:rPr>
            </w:pPr>
            <w:r>
              <w:rPr>
                <w:rFonts w:ascii="Arial" w:hAnsi="Arial" w:cs="Arial"/>
                <w:sz w:val="14"/>
                <w:szCs w:val="14"/>
              </w:rPr>
              <w:t>-</w:t>
            </w:r>
          </w:p>
        </w:tc>
        <w:tc>
          <w:tcPr>
            <w:tcW w:w="1231" w:type="dxa"/>
          </w:tcPr>
          <w:p w:rsidR="00904A88" w:rsidRDefault="00904A88" w:rsidP="00E564A6">
            <w:pPr>
              <w:jc w:val="center"/>
              <w:rPr>
                <w:rFonts w:ascii="Arial" w:hAnsi="Arial" w:cs="Arial"/>
                <w:sz w:val="14"/>
                <w:szCs w:val="14"/>
              </w:rPr>
            </w:pPr>
            <w:r>
              <w:rPr>
                <w:rFonts w:ascii="Arial" w:hAnsi="Arial" w:cs="Arial"/>
                <w:sz w:val="14"/>
                <w:szCs w:val="14"/>
              </w:rPr>
              <w:t>-</w:t>
            </w:r>
          </w:p>
        </w:tc>
      </w:tr>
      <w:tr w:rsidR="00904A88" w:rsidRPr="00D97E0B" w:rsidTr="00E564A6">
        <w:trPr>
          <w:gridAfter w:val="1"/>
          <w:wAfter w:w="49" w:type="dxa"/>
        </w:trPr>
        <w:tc>
          <w:tcPr>
            <w:tcW w:w="1243" w:type="dxa"/>
            <w:vMerge/>
            <w:tcBorders>
              <w:bottom w:val="single" w:sz="12" w:space="0" w:color="auto"/>
            </w:tcBorders>
            <w:vAlign w:val="center"/>
          </w:tcPr>
          <w:p w:rsidR="00904A88" w:rsidRPr="00132B0D" w:rsidRDefault="00904A88" w:rsidP="00E564A6">
            <w:pPr>
              <w:jc w:val="center"/>
              <w:rPr>
                <w:rFonts w:ascii="Arial" w:hAnsi="Arial" w:cs="Arial"/>
                <w:sz w:val="14"/>
                <w:szCs w:val="14"/>
              </w:rPr>
            </w:pPr>
          </w:p>
        </w:tc>
        <w:tc>
          <w:tcPr>
            <w:tcW w:w="1133" w:type="dxa"/>
            <w:tcBorders>
              <w:bottom w:val="single" w:sz="12" w:space="0" w:color="auto"/>
            </w:tcBorders>
            <w:hideMark/>
          </w:tcPr>
          <w:p w:rsidR="00904A88" w:rsidRPr="001D6400" w:rsidRDefault="00904A88" w:rsidP="00E564A6">
            <w:pPr>
              <w:rPr>
                <w:rFonts w:ascii="Arial" w:hAnsi="Arial" w:cs="Arial"/>
                <w:i/>
                <w:sz w:val="14"/>
                <w:szCs w:val="14"/>
              </w:rPr>
            </w:pPr>
            <w:r w:rsidRPr="001D6400">
              <w:rPr>
                <w:rFonts w:ascii="Arial" w:hAnsi="Arial" w:cs="Arial"/>
                <w:i/>
                <w:sz w:val="14"/>
                <w:szCs w:val="14"/>
              </w:rPr>
              <w:t>Is</w:t>
            </w:r>
            <w:r w:rsidRPr="001D6400">
              <w:rPr>
                <w:rFonts w:ascii="Arial" w:hAnsi="Arial" w:cs="Arial"/>
                <w:sz w:val="14"/>
                <w:szCs w:val="14"/>
              </w:rPr>
              <w:t>PadC</w:t>
            </w:r>
            <w:r w:rsidRPr="001D6400">
              <w:rPr>
                <w:rFonts w:ascii="Arial" w:hAnsi="Arial" w:cs="Arial"/>
                <w:sz w:val="14"/>
                <w:szCs w:val="14"/>
                <w:vertAlign w:val="superscript"/>
              </w:rPr>
              <w:t>Reg2.a</w:t>
            </w:r>
          </w:p>
        </w:tc>
        <w:tc>
          <w:tcPr>
            <w:tcW w:w="916" w:type="dxa"/>
            <w:tcBorders>
              <w:bottom w:val="single" w:sz="12" w:space="0" w:color="auto"/>
            </w:tcBorders>
            <w:hideMark/>
          </w:tcPr>
          <w:p w:rsidR="00904A88" w:rsidRPr="00D97E0B" w:rsidRDefault="00904A88" w:rsidP="00E564A6">
            <w:pPr>
              <w:jc w:val="center"/>
              <w:rPr>
                <w:rFonts w:ascii="Arial" w:hAnsi="Arial" w:cs="Arial"/>
                <w:color w:val="FF0000"/>
                <w:sz w:val="14"/>
                <w:szCs w:val="14"/>
              </w:rPr>
            </w:pPr>
            <w:r>
              <w:rPr>
                <w:rFonts w:ascii="Arial" w:hAnsi="Arial" w:cs="Arial"/>
                <w:sz w:val="14"/>
                <w:szCs w:val="14"/>
              </w:rPr>
              <w:t>34.9 ± 0.2</w:t>
            </w:r>
          </w:p>
        </w:tc>
        <w:tc>
          <w:tcPr>
            <w:tcW w:w="1231" w:type="dxa"/>
            <w:tcBorders>
              <w:bottom w:val="single" w:sz="12" w:space="0" w:color="auto"/>
            </w:tcBorders>
            <w:hideMark/>
          </w:tcPr>
          <w:p w:rsidR="00904A88" w:rsidRPr="00D97E0B" w:rsidRDefault="00904A88" w:rsidP="00E564A6">
            <w:pPr>
              <w:jc w:val="center"/>
              <w:rPr>
                <w:rFonts w:ascii="Arial" w:hAnsi="Arial" w:cs="Arial"/>
                <w:color w:val="FF0000"/>
                <w:sz w:val="14"/>
                <w:szCs w:val="14"/>
              </w:rPr>
            </w:pPr>
            <w:r>
              <w:rPr>
                <w:rFonts w:ascii="Arial" w:hAnsi="Arial" w:cs="Arial"/>
                <w:sz w:val="14"/>
                <w:szCs w:val="14"/>
              </w:rPr>
              <w:t>36 ± 0.8</w:t>
            </w:r>
          </w:p>
        </w:tc>
        <w:tc>
          <w:tcPr>
            <w:tcW w:w="955" w:type="dxa"/>
            <w:tcBorders>
              <w:bottom w:val="single" w:sz="12" w:space="0" w:color="auto"/>
            </w:tcBorders>
            <w:hideMark/>
          </w:tcPr>
          <w:p w:rsidR="00904A88" w:rsidRPr="00D97E0B" w:rsidRDefault="00904A88" w:rsidP="00E564A6">
            <w:pPr>
              <w:jc w:val="center"/>
              <w:rPr>
                <w:rFonts w:ascii="Arial" w:hAnsi="Arial" w:cs="Arial"/>
                <w:color w:val="FF0000"/>
                <w:sz w:val="14"/>
                <w:szCs w:val="14"/>
              </w:rPr>
            </w:pPr>
            <w:r>
              <w:rPr>
                <w:rFonts w:ascii="Arial" w:hAnsi="Arial" w:cs="Arial"/>
                <w:sz w:val="14"/>
                <w:szCs w:val="14"/>
              </w:rPr>
              <w:t xml:space="preserve">1,300 ± </w:t>
            </w:r>
            <w:r w:rsidR="00A0459B">
              <w:rPr>
                <w:rFonts w:ascii="Arial" w:hAnsi="Arial" w:cs="Arial"/>
                <w:sz w:val="14"/>
                <w:szCs w:val="14"/>
              </w:rPr>
              <w:t>20</w:t>
            </w:r>
          </w:p>
        </w:tc>
        <w:tc>
          <w:tcPr>
            <w:tcW w:w="1231" w:type="dxa"/>
            <w:tcBorders>
              <w:bottom w:val="single" w:sz="12" w:space="0" w:color="auto"/>
            </w:tcBorders>
            <w:hideMark/>
          </w:tcPr>
          <w:p w:rsidR="00904A88" w:rsidRPr="00D97E0B" w:rsidRDefault="00904A88" w:rsidP="00E564A6">
            <w:pPr>
              <w:jc w:val="center"/>
              <w:rPr>
                <w:rFonts w:ascii="Arial" w:hAnsi="Arial" w:cs="Arial"/>
                <w:color w:val="FF0000"/>
                <w:sz w:val="14"/>
                <w:szCs w:val="14"/>
              </w:rPr>
            </w:pPr>
            <w:r>
              <w:rPr>
                <w:rFonts w:ascii="Arial" w:hAnsi="Arial" w:cs="Arial"/>
                <w:sz w:val="14"/>
                <w:szCs w:val="14"/>
              </w:rPr>
              <w:t>3 ± 0.2</w:t>
            </w:r>
          </w:p>
        </w:tc>
        <w:tc>
          <w:tcPr>
            <w:tcW w:w="1266" w:type="dxa"/>
            <w:tcBorders>
              <w:bottom w:val="single" w:sz="12" w:space="0" w:color="auto"/>
            </w:tcBorders>
          </w:tcPr>
          <w:p w:rsidR="00904A88" w:rsidRDefault="00A0459B" w:rsidP="00E564A6">
            <w:pPr>
              <w:jc w:val="center"/>
              <w:rPr>
                <w:rFonts w:ascii="Arial" w:hAnsi="Arial" w:cs="Arial"/>
                <w:sz w:val="14"/>
                <w:szCs w:val="14"/>
              </w:rPr>
            </w:pPr>
            <w:r>
              <w:rPr>
                <w:rFonts w:ascii="Arial" w:hAnsi="Arial" w:cs="Arial"/>
                <w:sz w:val="14"/>
                <w:szCs w:val="14"/>
              </w:rPr>
              <w:t>270,000 ± 1000</w:t>
            </w:r>
          </w:p>
        </w:tc>
        <w:tc>
          <w:tcPr>
            <w:tcW w:w="1231" w:type="dxa"/>
            <w:tcBorders>
              <w:bottom w:val="single" w:sz="12" w:space="0" w:color="auto"/>
            </w:tcBorders>
          </w:tcPr>
          <w:p w:rsidR="00904A88" w:rsidRDefault="00904A88" w:rsidP="00E564A6">
            <w:pPr>
              <w:jc w:val="center"/>
              <w:rPr>
                <w:rFonts w:ascii="Arial" w:hAnsi="Arial" w:cs="Arial"/>
                <w:sz w:val="14"/>
                <w:szCs w:val="14"/>
              </w:rPr>
            </w:pPr>
            <w:r>
              <w:rPr>
                <w:rFonts w:ascii="Arial" w:hAnsi="Arial" w:cs="Arial"/>
                <w:sz w:val="14"/>
                <w:szCs w:val="14"/>
              </w:rPr>
              <w:t>61 ± 0.7</w:t>
            </w:r>
          </w:p>
        </w:tc>
      </w:tr>
      <w:tr w:rsidR="00904A88" w:rsidRPr="00D97E0B" w:rsidTr="00E564A6">
        <w:trPr>
          <w:gridAfter w:val="1"/>
          <w:wAfter w:w="49" w:type="dxa"/>
        </w:trPr>
        <w:tc>
          <w:tcPr>
            <w:tcW w:w="1243" w:type="dxa"/>
            <w:vMerge w:val="restart"/>
            <w:tcBorders>
              <w:top w:val="single" w:sz="12" w:space="0" w:color="auto"/>
            </w:tcBorders>
            <w:vAlign w:val="center"/>
          </w:tcPr>
          <w:p w:rsidR="00904A88" w:rsidRPr="00132B0D" w:rsidRDefault="00904A88" w:rsidP="00E564A6">
            <w:pPr>
              <w:jc w:val="center"/>
              <w:rPr>
                <w:rFonts w:ascii="Arial" w:hAnsi="Arial" w:cs="Arial"/>
                <w:sz w:val="14"/>
                <w:szCs w:val="14"/>
              </w:rPr>
            </w:pPr>
            <w:r w:rsidRPr="00132B0D">
              <w:rPr>
                <w:rFonts w:ascii="Arial" w:hAnsi="Arial" w:cs="Arial"/>
                <w:sz w:val="14"/>
                <w:szCs w:val="14"/>
              </w:rPr>
              <w:t xml:space="preserve">10 </w:t>
            </w:r>
            <w:r w:rsidRPr="00132B0D">
              <w:rPr>
                <w:rFonts w:ascii="Calibri" w:hAnsi="Calibri" w:cs="Arial"/>
                <w:sz w:val="14"/>
                <w:szCs w:val="14"/>
              </w:rPr>
              <w:t>μ</w:t>
            </w:r>
            <w:r w:rsidRPr="00132B0D">
              <w:rPr>
                <w:rFonts w:ascii="Arial" w:hAnsi="Arial" w:cs="Arial"/>
                <w:sz w:val="14"/>
                <w:szCs w:val="14"/>
              </w:rPr>
              <w:t>M</w:t>
            </w:r>
          </w:p>
        </w:tc>
        <w:tc>
          <w:tcPr>
            <w:tcW w:w="1133" w:type="dxa"/>
            <w:tcBorders>
              <w:top w:val="single" w:sz="12" w:space="0" w:color="auto"/>
            </w:tcBorders>
          </w:tcPr>
          <w:p w:rsidR="00904A88" w:rsidRPr="00132B0D" w:rsidRDefault="00904A88" w:rsidP="00E564A6">
            <w:pPr>
              <w:rPr>
                <w:rFonts w:ascii="Arial" w:hAnsi="Arial" w:cs="Arial"/>
                <w:i/>
                <w:sz w:val="14"/>
                <w:szCs w:val="14"/>
              </w:rPr>
            </w:pPr>
            <w:r w:rsidRPr="00132B0D">
              <w:rPr>
                <w:rFonts w:ascii="Arial" w:hAnsi="Arial" w:cs="Arial"/>
                <w:i/>
                <w:sz w:val="14"/>
                <w:szCs w:val="14"/>
              </w:rPr>
              <w:t>Is</w:t>
            </w:r>
            <w:r w:rsidRPr="00132B0D">
              <w:rPr>
                <w:rFonts w:ascii="Arial" w:hAnsi="Arial" w:cs="Arial"/>
                <w:sz w:val="14"/>
                <w:szCs w:val="14"/>
              </w:rPr>
              <w:t>PadC</w:t>
            </w:r>
            <w:r w:rsidRPr="00132B0D">
              <w:rPr>
                <w:rFonts w:ascii="Arial" w:hAnsi="Arial" w:cs="Arial"/>
                <w:sz w:val="14"/>
                <w:szCs w:val="14"/>
                <w:vertAlign w:val="superscript"/>
              </w:rPr>
              <w:t>#1</w:t>
            </w:r>
          </w:p>
        </w:tc>
        <w:tc>
          <w:tcPr>
            <w:tcW w:w="916" w:type="dxa"/>
            <w:tcBorders>
              <w:top w:val="single" w:sz="12" w:space="0" w:color="auto"/>
            </w:tcBorders>
          </w:tcPr>
          <w:p w:rsidR="00904A88" w:rsidRDefault="00904A88" w:rsidP="00E564A6">
            <w:pPr>
              <w:jc w:val="center"/>
              <w:rPr>
                <w:rFonts w:ascii="Arial" w:hAnsi="Arial" w:cs="Arial"/>
                <w:sz w:val="14"/>
                <w:szCs w:val="14"/>
              </w:rPr>
            </w:pPr>
            <w:r>
              <w:rPr>
                <w:rFonts w:ascii="Arial" w:hAnsi="Arial" w:cs="Arial"/>
                <w:sz w:val="14"/>
                <w:szCs w:val="14"/>
              </w:rPr>
              <w:t>18.2 ± 0.2</w:t>
            </w:r>
          </w:p>
        </w:tc>
        <w:tc>
          <w:tcPr>
            <w:tcW w:w="1231" w:type="dxa"/>
            <w:tcBorders>
              <w:top w:val="single" w:sz="12" w:space="0" w:color="auto"/>
            </w:tcBorders>
          </w:tcPr>
          <w:p w:rsidR="00904A88" w:rsidRDefault="00904A88" w:rsidP="00E564A6">
            <w:pPr>
              <w:jc w:val="center"/>
              <w:rPr>
                <w:rFonts w:ascii="Arial" w:hAnsi="Arial" w:cs="Arial"/>
                <w:sz w:val="14"/>
                <w:szCs w:val="14"/>
              </w:rPr>
            </w:pPr>
            <w:r>
              <w:rPr>
                <w:rFonts w:ascii="Arial" w:hAnsi="Arial" w:cs="Arial"/>
                <w:sz w:val="14"/>
                <w:szCs w:val="14"/>
              </w:rPr>
              <w:t>37 ± 0.4</w:t>
            </w:r>
          </w:p>
        </w:tc>
        <w:tc>
          <w:tcPr>
            <w:tcW w:w="955" w:type="dxa"/>
            <w:tcBorders>
              <w:top w:val="single" w:sz="12" w:space="0" w:color="auto"/>
            </w:tcBorders>
          </w:tcPr>
          <w:p w:rsidR="00904A88" w:rsidRDefault="00904A88" w:rsidP="00E564A6">
            <w:pPr>
              <w:jc w:val="center"/>
              <w:rPr>
                <w:rFonts w:ascii="Arial" w:hAnsi="Arial" w:cs="Arial"/>
                <w:sz w:val="14"/>
                <w:szCs w:val="14"/>
              </w:rPr>
            </w:pPr>
            <w:r>
              <w:rPr>
                <w:rFonts w:ascii="Arial" w:hAnsi="Arial" w:cs="Arial"/>
                <w:sz w:val="14"/>
                <w:szCs w:val="14"/>
              </w:rPr>
              <w:t>110.7 ± 0.6</w:t>
            </w:r>
          </w:p>
        </w:tc>
        <w:tc>
          <w:tcPr>
            <w:tcW w:w="1231" w:type="dxa"/>
            <w:tcBorders>
              <w:top w:val="single" w:sz="12" w:space="0" w:color="auto"/>
            </w:tcBorders>
          </w:tcPr>
          <w:p w:rsidR="00904A88" w:rsidRDefault="00904A88" w:rsidP="00E564A6">
            <w:pPr>
              <w:jc w:val="center"/>
              <w:rPr>
                <w:rFonts w:ascii="Arial" w:hAnsi="Arial" w:cs="Arial"/>
                <w:sz w:val="14"/>
                <w:szCs w:val="14"/>
              </w:rPr>
            </w:pPr>
            <w:r>
              <w:rPr>
                <w:rFonts w:ascii="Arial" w:hAnsi="Arial" w:cs="Arial"/>
                <w:sz w:val="14"/>
                <w:szCs w:val="14"/>
              </w:rPr>
              <w:t>48 ± 0.4</w:t>
            </w:r>
          </w:p>
        </w:tc>
        <w:tc>
          <w:tcPr>
            <w:tcW w:w="1266" w:type="dxa"/>
            <w:tcBorders>
              <w:top w:val="single" w:sz="12" w:space="0" w:color="auto"/>
            </w:tcBorders>
          </w:tcPr>
          <w:p w:rsidR="00904A88" w:rsidRDefault="00A0459B" w:rsidP="00704423">
            <w:pPr>
              <w:jc w:val="center"/>
              <w:rPr>
                <w:rFonts w:ascii="Arial" w:hAnsi="Arial" w:cs="Arial"/>
                <w:sz w:val="14"/>
                <w:szCs w:val="14"/>
              </w:rPr>
            </w:pPr>
            <w:r>
              <w:rPr>
                <w:rFonts w:ascii="Arial" w:hAnsi="Arial" w:cs="Arial"/>
                <w:sz w:val="14"/>
                <w:szCs w:val="14"/>
              </w:rPr>
              <w:t>2,55</w:t>
            </w:r>
            <w:r w:rsidR="00704423">
              <w:rPr>
                <w:rFonts w:ascii="Arial" w:hAnsi="Arial" w:cs="Arial"/>
                <w:sz w:val="14"/>
                <w:szCs w:val="14"/>
              </w:rPr>
              <w:t>0</w:t>
            </w:r>
            <w:r>
              <w:rPr>
                <w:rFonts w:ascii="Arial" w:hAnsi="Arial" w:cs="Arial"/>
                <w:sz w:val="14"/>
                <w:szCs w:val="14"/>
              </w:rPr>
              <w:t xml:space="preserve"> ± 50</w:t>
            </w:r>
          </w:p>
        </w:tc>
        <w:tc>
          <w:tcPr>
            <w:tcW w:w="1231" w:type="dxa"/>
            <w:tcBorders>
              <w:top w:val="single" w:sz="12" w:space="0" w:color="auto"/>
            </w:tcBorders>
          </w:tcPr>
          <w:p w:rsidR="00904A88" w:rsidRDefault="00904A88" w:rsidP="00E564A6">
            <w:pPr>
              <w:jc w:val="center"/>
              <w:rPr>
                <w:rFonts w:ascii="Arial" w:hAnsi="Arial" w:cs="Arial"/>
                <w:sz w:val="14"/>
                <w:szCs w:val="14"/>
              </w:rPr>
            </w:pPr>
            <w:r>
              <w:rPr>
                <w:rFonts w:ascii="Arial" w:hAnsi="Arial" w:cs="Arial"/>
                <w:sz w:val="14"/>
                <w:szCs w:val="14"/>
              </w:rPr>
              <w:t>15 ± 0.1</w:t>
            </w:r>
          </w:p>
        </w:tc>
      </w:tr>
      <w:tr w:rsidR="00904A88" w:rsidRPr="00D97E0B" w:rsidTr="00E564A6">
        <w:trPr>
          <w:gridAfter w:val="1"/>
          <w:wAfter w:w="49" w:type="dxa"/>
        </w:trPr>
        <w:tc>
          <w:tcPr>
            <w:tcW w:w="1243" w:type="dxa"/>
            <w:vMerge/>
            <w:tcBorders>
              <w:bottom w:val="single" w:sz="12" w:space="0" w:color="auto"/>
            </w:tcBorders>
          </w:tcPr>
          <w:p w:rsidR="00904A88" w:rsidRPr="00132B0D" w:rsidRDefault="00904A88" w:rsidP="00E564A6">
            <w:pPr>
              <w:rPr>
                <w:rFonts w:ascii="Arial" w:hAnsi="Arial" w:cs="Arial"/>
                <w:i/>
                <w:sz w:val="14"/>
                <w:szCs w:val="14"/>
              </w:rPr>
            </w:pPr>
          </w:p>
        </w:tc>
        <w:tc>
          <w:tcPr>
            <w:tcW w:w="1133" w:type="dxa"/>
            <w:tcBorders>
              <w:bottom w:val="single" w:sz="12" w:space="0" w:color="auto"/>
            </w:tcBorders>
          </w:tcPr>
          <w:p w:rsidR="00904A88" w:rsidRPr="00132B0D" w:rsidRDefault="00904A88" w:rsidP="00E564A6">
            <w:pPr>
              <w:rPr>
                <w:rFonts w:ascii="Arial" w:hAnsi="Arial" w:cs="Arial"/>
                <w:i/>
                <w:sz w:val="14"/>
                <w:szCs w:val="14"/>
              </w:rPr>
            </w:pPr>
            <w:r w:rsidRPr="00132B0D">
              <w:rPr>
                <w:rFonts w:ascii="Arial" w:hAnsi="Arial" w:cs="Arial"/>
                <w:i/>
                <w:sz w:val="14"/>
                <w:szCs w:val="14"/>
              </w:rPr>
              <w:t>Is</w:t>
            </w:r>
            <w:r w:rsidRPr="00132B0D">
              <w:rPr>
                <w:rFonts w:ascii="Arial" w:hAnsi="Arial" w:cs="Arial"/>
                <w:sz w:val="14"/>
                <w:szCs w:val="14"/>
              </w:rPr>
              <w:t>PadC</w:t>
            </w:r>
            <w:r w:rsidRPr="00132B0D">
              <w:rPr>
                <w:rFonts w:ascii="Arial" w:hAnsi="Arial" w:cs="Arial"/>
                <w:sz w:val="14"/>
                <w:szCs w:val="14"/>
                <w:vertAlign w:val="superscript"/>
              </w:rPr>
              <w:t>#2</w:t>
            </w:r>
          </w:p>
        </w:tc>
        <w:tc>
          <w:tcPr>
            <w:tcW w:w="916" w:type="dxa"/>
            <w:tcBorders>
              <w:bottom w:val="single" w:sz="12" w:space="0" w:color="auto"/>
            </w:tcBorders>
          </w:tcPr>
          <w:p w:rsidR="00904A88" w:rsidRDefault="00904A88" w:rsidP="00E564A6">
            <w:pPr>
              <w:jc w:val="center"/>
              <w:rPr>
                <w:rFonts w:ascii="Arial" w:hAnsi="Arial" w:cs="Arial"/>
                <w:sz w:val="14"/>
                <w:szCs w:val="14"/>
              </w:rPr>
            </w:pPr>
            <w:r>
              <w:rPr>
                <w:rFonts w:ascii="Arial" w:hAnsi="Arial" w:cs="Arial"/>
                <w:sz w:val="14"/>
                <w:szCs w:val="14"/>
              </w:rPr>
              <w:t>10.2 ± 0.8</w:t>
            </w:r>
          </w:p>
        </w:tc>
        <w:tc>
          <w:tcPr>
            <w:tcW w:w="1231" w:type="dxa"/>
            <w:tcBorders>
              <w:bottom w:val="single" w:sz="12" w:space="0" w:color="auto"/>
            </w:tcBorders>
          </w:tcPr>
          <w:p w:rsidR="00904A88" w:rsidRDefault="00904A88" w:rsidP="00E564A6">
            <w:pPr>
              <w:jc w:val="center"/>
              <w:rPr>
                <w:rFonts w:ascii="Arial" w:hAnsi="Arial" w:cs="Arial"/>
                <w:sz w:val="14"/>
                <w:szCs w:val="14"/>
              </w:rPr>
            </w:pPr>
            <w:r>
              <w:rPr>
                <w:rFonts w:ascii="Arial" w:hAnsi="Arial" w:cs="Arial"/>
                <w:sz w:val="14"/>
                <w:szCs w:val="14"/>
              </w:rPr>
              <w:t>33 ±0.1</w:t>
            </w:r>
          </w:p>
        </w:tc>
        <w:tc>
          <w:tcPr>
            <w:tcW w:w="955" w:type="dxa"/>
            <w:tcBorders>
              <w:bottom w:val="single" w:sz="12" w:space="0" w:color="auto"/>
            </w:tcBorders>
          </w:tcPr>
          <w:p w:rsidR="00904A88" w:rsidRDefault="00904A88" w:rsidP="00E564A6">
            <w:pPr>
              <w:jc w:val="center"/>
              <w:rPr>
                <w:rFonts w:ascii="Arial" w:hAnsi="Arial" w:cs="Arial"/>
                <w:sz w:val="14"/>
                <w:szCs w:val="14"/>
              </w:rPr>
            </w:pPr>
            <w:r>
              <w:rPr>
                <w:rFonts w:ascii="Arial" w:hAnsi="Arial" w:cs="Arial"/>
                <w:sz w:val="14"/>
                <w:szCs w:val="14"/>
              </w:rPr>
              <w:t>89 ± 6</w:t>
            </w:r>
          </w:p>
        </w:tc>
        <w:tc>
          <w:tcPr>
            <w:tcW w:w="1231" w:type="dxa"/>
            <w:tcBorders>
              <w:bottom w:val="single" w:sz="12" w:space="0" w:color="auto"/>
            </w:tcBorders>
          </w:tcPr>
          <w:p w:rsidR="00904A88" w:rsidRDefault="00904A88" w:rsidP="00E564A6">
            <w:pPr>
              <w:jc w:val="center"/>
              <w:rPr>
                <w:rFonts w:ascii="Arial" w:hAnsi="Arial" w:cs="Arial"/>
                <w:sz w:val="14"/>
                <w:szCs w:val="14"/>
              </w:rPr>
            </w:pPr>
            <w:r>
              <w:rPr>
                <w:rFonts w:ascii="Arial" w:hAnsi="Arial" w:cs="Arial"/>
                <w:sz w:val="14"/>
                <w:szCs w:val="14"/>
              </w:rPr>
              <w:t>43 ± 0.1</w:t>
            </w:r>
          </w:p>
        </w:tc>
        <w:tc>
          <w:tcPr>
            <w:tcW w:w="1266" w:type="dxa"/>
            <w:tcBorders>
              <w:bottom w:val="single" w:sz="12" w:space="0" w:color="auto"/>
            </w:tcBorders>
          </w:tcPr>
          <w:p w:rsidR="00904A88" w:rsidRDefault="00A0459B" w:rsidP="00704423">
            <w:pPr>
              <w:jc w:val="center"/>
              <w:rPr>
                <w:rFonts w:ascii="Arial" w:hAnsi="Arial" w:cs="Arial"/>
                <w:sz w:val="14"/>
                <w:szCs w:val="14"/>
              </w:rPr>
            </w:pPr>
            <w:r>
              <w:rPr>
                <w:rFonts w:ascii="Arial" w:hAnsi="Arial" w:cs="Arial"/>
                <w:sz w:val="14"/>
                <w:szCs w:val="14"/>
              </w:rPr>
              <w:t>6,50</w:t>
            </w:r>
            <w:r w:rsidR="00704423">
              <w:rPr>
                <w:rFonts w:ascii="Arial" w:hAnsi="Arial" w:cs="Arial"/>
                <w:sz w:val="14"/>
                <w:szCs w:val="14"/>
              </w:rPr>
              <w:t>0</w:t>
            </w:r>
            <w:r>
              <w:rPr>
                <w:rFonts w:ascii="Arial" w:hAnsi="Arial" w:cs="Arial"/>
                <w:sz w:val="14"/>
                <w:szCs w:val="14"/>
              </w:rPr>
              <w:t xml:space="preserve"> ± 5,000</w:t>
            </w:r>
          </w:p>
        </w:tc>
        <w:tc>
          <w:tcPr>
            <w:tcW w:w="1231" w:type="dxa"/>
            <w:tcBorders>
              <w:bottom w:val="single" w:sz="12" w:space="0" w:color="auto"/>
            </w:tcBorders>
          </w:tcPr>
          <w:p w:rsidR="00904A88" w:rsidRDefault="00904A88" w:rsidP="00E564A6">
            <w:pPr>
              <w:jc w:val="center"/>
              <w:rPr>
                <w:rFonts w:ascii="Arial" w:hAnsi="Arial" w:cs="Arial"/>
                <w:sz w:val="14"/>
                <w:szCs w:val="14"/>
              </w:rPr>
            </w:pPr>
            <w:r>
              <w:rPr>
                <w:rFonts w:ascii="Arial" w:hAnsi="Arial" w:cs="Arial"/>
                <w:sz w:val="14"/>
                <w:szCs w:val="14"/>
              </w:rPr>
              <w:t>24 ± 0.4</w:t>
            </w:r>
          </w:p>
        </w:tc>
      </w:tr>
    </w:tbl>
    <w:p w:rsidR="0027235B" w:rsidRDefault="0027235B" w:rsidP="00747E87">
      <w:pPr>
        <w:rPr>
          <w:b/>
        </w:rPr>
      </w:pPr>
    </w:p>
    <w:p w:rsidR="0027235B" w:rsidRDefault="0027235B" w:rsidP="00747E87">
      <w:pPr>
        <w:rPr>
          <w:b/>
        </w:rPr>
      </w:pPr>
    </w:p>
    <w:p w:rsidR="009A2D08" w:rsidRDefault="009A2D08" w:rsidP="00747E87">
      <w:pPr>
        <w:rPr>
          <w:b/>
        </w:rPr>
      </w:pPr>
    </w:p>
    <w:p w:rsidR="009A2D08" w:rsidRDefault="009A2D08" w:rsidP="00747E87">
      <w:pPr>
        <w:rPr>
          <w:b/>
        </w:rPr>
      </w:pPr>
    </w:p>
    <w:p w:rsidR="005B2D9D" w:rsidRDefault="005B2D9D" w:rsidP="00747E87">
      <w:pPr>
        <w:rPr>
          <w:b/>
        </w:rPr>
      </w:pPr>
    </w:p>
    <w:p w:rsidR="009A2D08" w:rsidRDefault="009A2D08" w:rsidP="00747E87">
      <w:pPr>
        <w:rPr>
          <w:b/>
        </w:rPr>
      </w:pPr>
    </w:p>
    <w:p w:rsidR="00747E87" w:rsidRDefault="00362A5F" w:rsidP="00747E87">
      <w:pPr>
        <w:rPr>
          <w:b/>
        </w:rPr>
      </w:pPr>
      <w:proofErr w:type="gramStart"/>
      <w:r>
        <w:rPr>
          <w:b/>
        </w:rPr>
        <w:lastRenderedPageBreak/>
        <w:t>Supplementary Table 2</w:t>
      </w:r>
      <w:r w:rsidR="00C618E5">
        <w:rPr>
          <w:b/>
        </w:rPr>
        <w:t>.</w:t>
      </w:r>
      <w:proofErr w:type="gramEnd"/>
      <w:r w:rsidR="009F33DE">
        <w:rPr>
          <w:b/>
        </w:rPr>
        <w:t xml:space="preserve"> </w:t>
      </w:r>
      <w:proofErr w:type="gramStart"/>
      <w:r w:rsidR="00C618E5">
        <w:rPr>
          <w:b/>
        </w:rPr>
        <w:t>Crystallographic d</w:t>
      </w:r>
      <w:r w:rsidR="00747E87">
        <w:rPr>
          <w:b/>
        </w:rPr>
        <w:t>ata collection and refinement statistics.</w:t>
      </w:r>
      <w:proofErr w:type="gramEnd"/>
    </w:p>
    <w:p w:rsidR="003129D2" w:rsidRDefault="003129D2" w:rsidP="00747E87">
      <w:pPr>
        <w:rPr>
          <w:b/>
        </w:rPr>
      </w:pPr>
    </w:p>
    <w:p w:rsidR="00747E87" w:rsidRDefault="00747E87" w:rsidP="00747E87">
      <w:pPr>
        <w:rPr>
          <w:b/>
        </w:rPr>
      </w:pPr>
    </w:p>
    <w:tbl>
      <w:tblPr>
        <w:tblStyle w:val="Tabellenraster"/>
        <w:tblW w:w="0" w:type="auto"/>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969"/>
        <w:gridCol w:w="2481"/>
      </w:tblGrid>
      <w:tr w:rsidR="00747E87" w:rsidTr="003C13B8">
        <w:trPr>
          <w:jc w:val="center"/>
        </w:trPr>
        <w:tc>
          <w:tcPr>
            <w:tcW w:w="2969" w:type="dxa"/>
            <w:tcBorders>
              <w:top w:val="single" w:sz="12" w:space="0" w:color="auto"/>
              <w:bottom w:val="single" w:sz="4" w:space="0" w:color="auto"/>
            </w:tcBorders>
          </w:tcPr>
          <w:p w:rsidR="00747E87" w:rsidRDefault="00747E87" w:rsidP="00D96FF7">
            <w:pPr>
              <w:rPr>
                <w:sz w:val="20"/>
              </w:rPr>
            </w:pPr>
          </w:p>
        </w:tc>
        <w:tc>
          <w:tcPr>
            <w:tcW w:w="2481" w:type="dxa"/>
            <w:tcBorders>
              <w:top w:val="single" w:sz="12" w:space="0" w:color="auto"/>
              <w:bottom w:val="single" w:sz="4" w:space="0" w:color="auto"/>
            </w:tcBorders>
          </w:tcPr>
          <w:p w:rsidR="00747E87" w:rsidRPr="00FD4488" w:rsidRDefault="00747E87" w:rsidP="00D96FF7">
            <w:pPr>
              <w:jc w:val="center"/>
              <w:rPr>
                <w:sz w:val="20"/>
              </w:rPr>
            </w:pPr>
            <w:r w:rsidRPr="00C2629C">
              <w:rPr>
                <w:i/>
                <w:sz w:val="20"/>
              </w:rPr>
              <w:t>Is</w:t>
            </w:r>
            <w:r>
              <w:rPr>
                <w:sz w:val="20"/>
              </w:rPr>
              <w:t>PadC</w:t>
            </w:r>
            <w:r w:rsidRPr="00C2629C">
              <w:rPr>
                <w:sz w:val="20"/>
                <w:vertAlign w:val="superscript"/>
              </w:rPr>
              <w:t>Reg2</w:t>
            </w:r>
            <w:r>
              <w:rPr>
                <w:sz w:val="20"/>
                <w:vertAlign w:val="superscript"/>
              </w:rPr>
              <w:t xml:space="preserve"> </w:t>
            </w:r>
            <w:r w:rsidR="00B17EE1">
              <w:rPr>
                <w:sz w:val="20"/>
              </w:rPr>
              <w:t>(PDB:6ET7</w:t>
            </w:r>
            <w:r w:rsidR="00C618E5">
              <w:rPr>
                <w:sz w:val="20"/>
              </w:rPr>
              <w:t>)</w:t>
            </w:r>
            <w:r w:rsidR="003129D2">
              <w:rPr>
                <w:sz w:val="20"/>
              </w:rPr>
              <w:t>*</w:t>
            </w:r>
          </w:p>
        </w:tc>
      </w:tr>
      <w:tr w:rsidR="00747E87" w:rsidTr="003C13B8">
        <w:trPr>
          <w:jc w:val="center"/>
        </w:trPr>
        <w:tc>
          <w:tcPr>
            <w:tcW w:w="2969" w:type="dxa"/>
            <w:tcBorders>
              <w:top w:val="single" w:sz="4" w:space="0" w:color="auto"/>
            </w:tcBorders>
          </w:tcPr>
          <w:p w:rsidR="00747E87" w:rsidRDefault="00747E87" w:rsidP="00D96FF7">
            <w:pPr>
              <w:rPr>
                <w:b/>
                <w:bCs/>
                <w:sz w:val="20"/>
              </w:rPr>
            </w:pPr>
            <w:r>
              <w:rPr>
                <w:b/>
                <w:bCs/>
                <w:sz w:val="20"/>
              </w:rPr>
              <w:t>Data collection</w:t>
            </w:r>
          </w:p>
        </w:tc>
        <w:tc>
          <w:tcPr>
            <w:tcW w:w="2481" w:type="dxa"/>
            <w:tcBorders>
              <w:top w:val="single" w:sz="4" w:space="0" w:color="auto"/>
            </w:tcBorders>
          </w:tcPr>
          <w:p w:rsidR="00747E87" w:rsidRDefault="00747E87" w:rsidP="00D96FF7">
            <w:pPr>
              <w:jc w:val="center"/>
              <w:rPr>
                <w:sz w:val="20"/>
              </w:rPr>
            </w:pPr>
          </w:p>
        </w:tc>
      </w:tr>
      <w:tr w:rsidR="00C618E5" w:rsidTr="003C13B8">
        <w:trPr>
          <w:jc w:val="center"/>
        </w:trPr>
        <w:tc>
          <w:tcPr>
            <w:tcW w:w="2969" w:type="dxa"/>
          </w:tcPr>
          <w:p w:rsidR="00C618E5" w:rsidRPr="00C618E5" w:rsidRDefault="00C618E5" w:rsidP="00D96FF7">
            <w:pPr>
              <w:rPr>
                <w:bCs/>
                <w:sz w:val="20"/>
              </w:rPr>
            </w:pPr>
            <w:r w:rsidRPr="00C618E5">
              <w:rPr>
                <w:bCs/>
                <w:sz w:val="20"/>
              </w:rPr>
              <w:t>Wavelength, Ȧ</w:t>
            </w:r>
          </w:p>
        </w:tc>
        <w:tc>
          <w:tcPr>
            <w:tcW w:w="2481" w:type="dxa"/>
          </w:tcPr>
          <w:p w:rsidR="00C618E5" w:rsidRDefault="00C618E5" w:rsidP="00D96FF7">
            <w:pPr>
              <w:jc w:val="center"/>
              <w:rPr>
                <w:sz w:val="20"/>
              </w:rPr>
            </w:pPr>
            <w:r>
              <w:rPr>
                <w:sz w:val="20"/>
              </w:rPr>
              <w:t>1.0089</w:t>
            </w:r>
          </w:p>
        </w:tc>
      </w:tr>
      <w:tr w:rsidR="00747E87" w:rsidTr="003C13B8">
        <w:trPr>
          <w:jc w:val="center"/>
        </w:trPr>
        <w:tc>
          <w:tcPr>
            <w:tcW w:w="2969" w:type="dxa"/>
          </w:tcPr>
          <w:p w:rsidR="00747E87" w:rsidRDefault="00747E87" w:rsidP="00D96FF7">
            <w:pPr>
              <w:rPr>
                <w:sz w:val="20"/>
              </w:rPr>
            </w:pPr>
            <w:r>
              <w:rPr>
                <w:sz w:val="20"/>
              </w:rPr>
              <w:t>Space group</w:t>
            </w:r>
          </w:p>
        </w:tc>
        <w:tc>
          <w:tcPr>
            <w:tcW w:w="2481" w:type="dxa"/>
          </w:tcPr>
          <w:p w:rsidR="00747E87" w:rsidRDefault="00747E87" w:rsidP="00D96FF7">
            <w:pPr>
              <w:jc w:val="center"/>
              <w:rPr>
                <w:sz w:val="20"/>
              </w:rPr>
            </w:pPr>
            <w:r>
              <w:rPr>
                <w:sz w:val="20"/>
              </w:rPr>
              <w:t>P 2</w:t>
            </w:r>
            <w:r w:rsidRPr="00696FAD">
              <w:rPr>
                <w:sz w:val="20"/>
                <w:vertAlign w:val="subscript"/>
              </w:rPr>
              <w:t>1</w:t>
            </w:r>
            <w:r>
              <w:rPr>
                <w:sz w:val="20"/>
                <w:vertAlign w:val="subscript"/>
              </w:rPr>
              <w:t xml:space="preserve"> </w:t>
            </w:r>
            <w:r>
              <w:rPr>
                <w:sz w:val="20"/>
              </w:rPr>
              <w:t>2</w:t>
            </w:r>
            <w:r w:rsidRPr="00696FAD">
              <w:rPr>
                <w:sz w:val="20"/>
                <w:vertAlign w:val="subscript"/>
              </w:rPr>
              <w:t>1</w:t>
            </w:r>
            <w:r>
              <w:rPr>
                <w:sz w:val="20"/>
                <w:vertAlign w:val="subscript"/>
              </w:rPr>
              <w:t xml:space="preserve"> </w:t>
            </w:r>
            <w:r>
              <w:rPr>
                <w:sz w:val="20"/>
              </w:rPr>
              <w:t>2</w:t>
            </w:r>
            <w:r w:rsidRPr="00696FAD">
              <w:rPr>
                <w:sz w:val="20"/>
                <w:vertAlign w:val="subscript"/>
              </w:rPr>
              <w:t>1</w:t>
            </w:r>
          </w:p>
        </w:tc>
      </w:tr>
      <w:tr w:rsidR="00747E87" w:rsidTr="003C13B8">
        <w:trPr>
          <w:jc w:val="center"/>
        </w:trPr>
        <w:tc>
          <w:tcPr>
            <w:tcW w:w="2969" w:type="dxa"/>
          </w:tcPr>
          <w:p w:rsidR="00747E87" w:rsidRDefault="00747E87" w:rsidP="00D96FF7">
            <w:pPr>
              <w:rPr>
                <w:sz w:val="20"/>
              </w:rPr>
            </w:pPr>
            <w:r>
              <w:rPr>
                <w:sz w:val="20"/>
              </w:rPr>
              <w:t>Cell dimensions</w:t>
            </w:r>
            <w:r>
              <w:rPr>
                <w:rFonts w:ascii="Symbol" w:hAnsi="Symbol"/>
                <w:sz w:val="20"/>
              </w:rPr>
              <w:t></w:t>
            </w:r>
            <w:r>
              <w:rPr>
                <w:rFonts w:ascii="Symbol" w:hAnsi="Symbol"/>
                <w:sz w:val="20"/>
              </w:rPr>
              <w:t></w:t>
            </w:r>
          </w:p>
        </w:tc>
        <w:tc>
          <w:tcPr>
            <w:tcW w:w="2481" w:type="dxa"/>
          </w:tcPr>
          <w:p w:rsidR="00747E87" w:rsidRDefault="00747E87" w:rsidP="00D96FF7">
            <w:pPr>
              <w:jc w:val="center"/>
              <w:rPr>
                <w:sz w:val="20"/>
              </w:rPr>
            </w:pPr>
          </w:p>
        </w:tc>
      </w:tr>
      <w:tr w:rsidR="00747E87" w:rsidTr="003C13B8">
        <w:trPr>
          <w:jc w:val="center"/>
        </w:trPr>
        <w:tc>
          <w:tcPr>
            <w:tcW w:w="2969" w:type="dxa"/>
          </w:tcPr>
          <w:p w:rsidR="00747E87" w:rsidRDefault="00747E87" w:rsidP="00D96FF7">
            <w:pPr>
              <w:rPr>
                <w:rFonts w:ascii="Wingdings" w:hAnsi="Wingdings"/>
                <w:sz w:val="20"/>
              </w:rPr>
            </w:pPr>
            <w:r>
              <w:rPr>
                <w:sz w:val="20"/>
              </w:rPr>
              <w:t xml:space="preserve">    </w:t>
            </w:r>
            <w:r>
              <w:rPr>
                <w:i/>
                <w:sz w:val="20"/>
              </w:rPr>
              <w:t>a</w:t>
            </w:r>
            <w:r>
              <w:rPr>
                <w:sz w:val="20"/>
              </w:rPr>
              <w:t xml:space="preserve">, </w:t>
            </w:r>
            <w:r>
              <w:rPr>
                <w:i/>
                <w:sz w:val="20"/>
              </w:rPr>
              <w:t>b</w:t>
            </w:r>
            <w:r>
              <w:rPr>
                <w:sz w:val="20"/>
              </w:rPr>
              <w:t xml:space="preserve">, </w:t>
            </w:r>
            <w:r>
              <w:rPr>
                <w:i/>
                <w:sz w:val="20"/>
              </w:rPr>
              <w:t>c</w:t>
            </w:r>
            <w:r>
              <w:rPr>
                <w:sz w:val="20"/>
              </w:rPr>
              <w:t xml:space="preserve"> (Å)</w:t>
            </w:r>
          </w:p>
        </w:tc>
        <w:tc>
          <w:tcPr>
            <w:tcW w:w="2481" w:type="dxa"/>
          </w:tcPr>
          <w:p w:rsidR="00747E87" w:rsidRDefault="00F83A7F" w:rsidP="00D96FF7">
            <w:pPr>
              <w:jc w:val="center"/>
              <w:rPr>
                <w:sz w:val="20"/>
              </w:rPr>
            </w:pPr>
            <w:r>
              <w:rPr>
                <w:sz w:val="20"/>
              </w:rPr>
              <w:t>49.43,  78.36, 443.56</w:t>
            </w:r>
          </w:p>
        </w:tc>
      </w:tr>
      <w:tr w:rsidR="00747E87" w:rsidTr="003C13B8">
        <w:trPr>
          <w:jc w:val="center"/>
        </w:trPr>
        <w:tc>
          <w:tcPr>
            <w:tcW w:w="2969" w:type="dxa"/>
          </w:tcPr>
          <w:p w:rsidR="00747E87" w:rsidRDefault="00747E87" w:rsidP="00D96FF7">
            <w:pPr>
              <w:rPr>
                <w:sz w:val="20"/>
              </w:rPr>
            </w:pPr>
            <w:r>
              <w:rPr>
                <w:rFonts w:ascii="Symbol" w:hAnsi="Symbol"/>
                <w:sz w:val="20"/>
              </w:rPr>
              <w:t></w:t>
            </w:r>
            <w:r>
              <w:rPr>
                <w:rFonts w:ascii="Symbol" w:hAnsi="Symbol"/>
                <w:sz w:val="20"/>
              </w:rPr>
              <w:t></w:t>
            </w:r>
            <w:r>
              <w:rPr>
                <w:rFonts w:ascii="Symbol" w:hAnsi="Symbol"/>
                <w:sz w:val="20"/>
              </w:rPr>
              <w:t></w:t>
            </w:r>
            <w:r>
              <w:rPr>
                <w:rFonts w:ascii="Symbol" w:hAnsi="Symbol"/>
                <w:sz w:val="20"/>
              </w:rPr>
              <w:t></w:t>
            </w:r>
            <w:r>
              <w:rPr>
                <w:rFonts w:ascii="Symbol" w:hAnsi="Symbol"/>
                <w:sz w:val="20"/>
              </w:rPr>
              <w:t></w:t>
            </w:r>
            <w:r>
              <w:rPr>
                <w:rFonts w:ascii="Symbol" w:hAnsi="Symbol"/>
                <w:sz w:val="20"/>
              </w:rPr>
              <w:t></w:t>
            </w:r>
            <w:r>
              <w:rPr>
                <w:rFonts w:ascii="Symbol" w:hAnsi="Symbol"/>
                <w:sz w:val="20"/>
              </w:rPr>
              <w:t></w:t>
            </w:r>
            <w:r>
              <w:rPr>
                <w:rFonts w:ascii="Symbol" w:hAnsi="Symbol"/>
                <w:sz w:val="20"/>
              </w:rPr>
              <w:t></w:t>
            </w:r>
            <w:r>
              <w:rPr>
                <w:rFonts w:ascii="Symbol" w:hAnsi="Symbol"/>
                <w:sz w:val="20"/>
              </w:rPr>
              <w:t></w:t>
            </w:r>
            <w:r>
              <w:rPr>
                <w:rFonts w:ascii="Symbol" w:hAnsi="Symbol"/>
                <w:sz w:val="20"/>
              </w:rPr>
              <w:t></w:t>
            </w:r>
            <w:r>
              <w:rPr>
                <w:rFonts w:ascii="Symbol" w:hAnsi="Symbol"/>
                <w:sz w:val="20"/>
              </w:rPr>
              <w:t></w:t>
            </w:r>
            <w:r>
              <w:rPr>
                <w:rFonts w:ascii="Symbol" w:hAnsi="Symbol"/>
                <w:sz w:val="20"/>
              </w:rPr>
              <w:t></w:t>
            </w:r>
            <w:r>
              <w:rPr>
                <w:sz w:val="20"/>
              </w:rPr>
              <w:t xml:space="preserve"> (</w:t>
            </w:r>
            <w:r>
              <w:rPr>
                <w:sz w:val="20"/>
              </w:rPr>
              <w:sym w:font="Symbol" w:char="F0B0"/>
            </w:r>
            <w:r>
              <w:rPr>
                <w:sz w:val="20"/>
              </w:rPr>
              <w:t xml:space="preserve">) </w:t>
            </w:r>
          </w:p>
        </w:tc>
        <w:tc>
          <w:tcPr>
            <w:tcW w:w="2481" w:type="dxa"/>
          </w:tcPr>
          <w:p w:rsidR="00747E87" w:rsidRDefault="00747E87" w:rsidP="00D96FF7">
            <w:pPr>
              <w:jc w:val="center"/>
              <w:rPr>
                <w:sz w:val="20"/>
              </w:rPr>
            </w:pPr>
            <w:r>
              <w:rPr>
                <w:sz w:val="20"/>
              </w:rPr>
              <w:t>90.00, 90.00, 90.00</w:t>
            </w:r>
          </w:p>
        </w:tc>
      </w:tr>
      <w:tr w:rsidR="00747E87" w:rsidTr="003C13B8">
        <w:trPr>
          <w:jc w:val="center"/>
        </w:trPr>
        <w:tc>
          <w:tcPr>
            <w:tcW w:w="2969" w:type="dxa"/>
          </w:tcPr>
          <w:p w:rsidR="00747E87" w:rsidRDefault="00747E87" w:rsidP="00D96FF7">
            <w:pPr>
              <w:rPr>
                <w:sz w:val="20"/>
              </w:rPr>
            </w:pPr>
            <w:r>
              <w:rPr>
                <w:sz w:val="20"/>
              </w:rPr>
              <w:t>Resolution (Å)</w:t>
            </w:r>
          </w:p>
        </w:tc>
        <w:tc>
          <w:tcPr>
            <w:tcW w:w="2481" w:type="dxa"/>
          </w:tcPr>
          <w:p w:rsidR="00747E87" w:rsidRDefault="00F83A7F" w:rsidP="00D96FF7">
            <w:pPr>
              <w:jc w:val="center"/>
              <w:rPr>
                <w:sz w:val="20"/>
              </w:rPr>
            </w:pPr>
            <w:r>
              <w:rPr>
                <w:sz w:val="20"/>
              </w:rPr>
              <w:t>58.77</w:t>
            </w:r>
            <w:r w:rsidR="00C618E5">
              <w:rPr>
                <w:sz w:val="20"/>
              </w:rPr>
              <w:t xml:space="preserve"> – 2.85 (2.95 - 2.85)</w:t>
            </w:r>
            <w:r w:rsidR="003129D2">
              <w:rPr>
                <w:sz w:val="20"/>
                <w:vertAlign w:val="superscript"/>
              </w:rPr>
              <w:t>$</w:t>
            </w:r>
          </w:p>
        </w:tc>
      </w:tr>
      <w:tr w:rsidR="00747E87" w:rsidTr="003C13B8">
        <w:trPr>
          <w:jc w:val="center"/>
        </w:trPr>
        <w:tc>
          <w:tcPr>
            <w:tcW w:w="2969" w:type="dxa"/>
          </w:tcPr>
          <w:p w:rsidR="00747E87" w:rsidRDefault="00747E87" w:rsidP="00D96FF7">
            <w:pPr>
              <w:rPr>
                <w:sz w:val="20"/>
              </w:rPr>
            </w:pPr>
            <w:proofErr w:type="spellStart"/>
            <w:r>
              <w:rPr>
                <w:i/>
                <w:iCs/>
                <w:sz w:val="20"/>
              </w:rPr>
              <w:t>R</w:t>
            </w:r>
            <w:r w:rsidR="00303EA0">
              <w:rPr>
                <w:sz w:val="20"/>
                <w:vertAlign w:val="subscript"/>
              </w:rPr>
              <w:t>meas</w:t>
            </w:r>
            <w:proofErr w:type="spellEnd"/>
            <w:r w:rsidRPr="00083F14">
              <w:rPr>
                <w:sz w:val="20"/>
              </w:rPr>
              <w:t xml:space="preserve"> (%)</w:t>
            </w:r>
          </w:p>
        </w:tc>
        <w:tc>
          <w:tcPr>
            <w:tcW w:w="2481" w:type="dxa"/>
          </w:tcPr>
          <w:p w:rsidR="00747E87" w:rsidRDefault="00F83A7F" w:rsidP="00D96FF7">
            <w:pPr>
              <w:jc w:val="center"/>
              <w:rPr>
                <w:sz w:val="20"/>
              </w:rPr>
            </w:pPr>
            <w:r>
              <w:rPr>
                <w:sz w:val="20"/>
              </w:rPr>
              <w:t>22.1 (156.4</w:t>
            </w:r>
            <w:r w:rsidR="00747E87">
              <w:rPr>
                <w:sz w:val="20"/>
              </w:rPr>
              <w:t>)</w:t>
            </w:r>
          </w:p>
        </w:tc>
      </w:tr>
      <w:tr w:rsidR="00747E87" w:rsidTr="003C13B8">
        <w:trPr>
          <w:jc w:val="center"/>
        </w:trPr>
        <w:tc>
          <w:tcPr>
            <w:tcW w:w="2969" w:type="dxa"/>
          </w:tcPr>
          <w:p w:rsidR="00747E87" w:rsidRDefault="00747E87" w:rsidP="00D96FF7">
            <w:pPr>
              <w:rPr>
                <w:sz w:val="20"/>
              </w:rPr>
            </w:pPr>
            <w:r>
              <w:rPr>
                <w:i/>
                <w:iCs/>
                <w:sz w:val="20"/>
              </w:rPr>
              <w:t xml:space="preserve">I </w:t>
            </w:r>
            <w:r>
              <w:rPr>
                <w:sz w:val="20"/>
              </w:rPr>
              <w:t xml:space="preserve">/ </w:t>
            </w:r>
            <w:r>
              <w:rPr>
                <w:rFonts w:ascii="Symbol" w:hAnsi="Symbol"/>
                <w:sz w:val="20"/>
              </w:rPr>
              <w:t></w:t>
            </w:r>
            <w:r>
              <w:rPr>
                <w:i/>
                <w:iCs/>
                <w:sz w:val="20"/>
              </w:rPr>
              <w:t>I</w:t>
            </w:r>
          </w:p>
        </w:tc>
        <w:tc>
          <w:tcPr>
            <w:tcW w:w="2481" w:type="dxa"/>
          </w:tcPr>
          <w:p w:rsidR="00747E87" w:rsidRDefault="00F83A7F" w:rsidP="00D96FF7">
            <w:pPr>
              <w:jc w:val="center"/>
              <w:rPr>
                <w:sz w:val="20"/>
              </w:rPr>
            </w:pPr>
            <w:r>
              <w:rPr>
                <w:sz w:val="20"/>
              </w:rPr>
              <w:t>9.28</w:t>
            </w:r>
            <w:r w:rsidR="00747E87">
              <w:rPr>
                <w:sz w:val="20"/>
              </w:rPr>
              <w:t xml:space="preserve"> </w:t>
            </w:r>
            <w:r>
              <w:rPr>
                <w:sz w:val="20"/>
              </w:rPr>
              <w:t>(1.55</w:t>
            </w:r>
            <w:r w:rsidR="00747E87">
              <w:rPr>
                <w:sz w:val="20"/>
              </w:rPr>
              <w:t>)</w:t>
            </w:r>
          </w:p>
        </w:tc>
      </w:tr>
      <w:tr w:rsidR="00747E87" w:rsidTr="003C13B8">
        <w:trPr>
          <w:jc w:val="center"/>
        </w:trPr>
        <w:tc>
          <w:tcPr>
            <w:tcW w:w="2969" w:type="dxa"/>
          </w:tcPr>
          <w:p w:rsidR="00747E87" w:rsidRPr="0071212E" w:rsidRDefault="00747E87" w:rsidP="00D96FF7">
            <w:pPr>
              <w:rPr>
                <w:iCs/>
                <w:sz w:val="20"/>
              </w:rPr>
            </w:pPr>
            <w:r w:rsidRPr="0071212E">
              <w:rPr>
                <w:iCs/>
                <w:sz w:val="20"/>
              </w:rPr>
              <w:t>CC</w:t>
            </w:r>
            <w:r>
              <w:rPr>
                <w:iCs/>
                <w:sz w:val="20"/>
              </w:rPr>
              <w:t xml:space="preserve"> </w:t>
            </w:r>
            <w:r w:rsidRPr="0071212E">
              <w:rPr>
                <w:iCs/>
                <w:sz w:val="20"/>
              </w:rPr>
              <w:t>(1/2)</w:t>
            </w:r>
          </w:p>
        </w:tc>
        <w:tc>
          <w:tcPr>
            <w:tcW w:w="2481" w:type="dxa"/>
          </w:tcPr>
          <w:p w:rsidR="00747E87" w:rsidRDefault="00F83A7F" w:rsidP="00D96FF7">
            <w:pPr>
              <w:jc w:val="center"/>
              <w:rPr>
                <w:sz w:val="20"/>
              </w:rPr>
            </w:pPr>
            <w:r>
              <w:rPr>
                <w:sz w:val="20"/>
              </w:rPr>
              <w:t>99.6 (55.6</w:t>
            </w:r>
            <w:r w:rsidR="00747E87">
              <w:rPr>
                <w:sz w:val="20"/>
              </w:rPr>
              <w:t>)</w:t>
            </w:r>
          </w:p>
        </w:tc>
      </w:tr>
      <w:tr w:rsidR="00747E87" w:rsidTr="003C13B8">
        <w:trPr>
          <w:jc w:val="center"/>
        </w:trPr>
        <w:tc>
          <w:tcPr>
            <w:tcW w:w="2969" w:type="dxa"/>
          </w:tcPr>
          <w:p w:rsidR="00747E87" w:rsidRDefault="00747E87" w:rsidP="00D96FF7">
            <w:pPr>
              <w:rPr>
                <w:sz w:val="20"/>
              </w:rPr>
            </w:pPr>
            <w:r>
              <w:rPr>
                <w:sz w:val="20"/>
              </w:rPr>
              <w:t>Completeness (%)</w:t>
            </w:r>
          </w:p>
        </w:tc>
        <w:tc>
          <w:tcPr>
            <w:tcW w:w="2481" w:type="dxa"/>
          </w:tcPr>
          <w:p w:rsidR="00747E87" w:rsidRDefault="00F83A7F" w:rsidP="00D96FF7">
            <w:pPr>
              <w:jc w:val="center"/>
              <w:rPr>
                <w:sz w:val="20"/>
              </w:rPr>
            </w:pPr>
            <w:r>
              <w:rPr>
                <w:sz w:val="20"/>
              </w:rPr>
              <w:t>99.9 (99.8</w:t>
            </w:r>
            <w:r w:rsidR="00747E87">
              <w:rPr>
                <w:sz w:val="20"/>
              </w:rPr>
              <w:t>)</w:t>
            </w:r>
          </w:p>
        </w:tc>
      </w:tr>
      <w:tr w:rsidR="00747E87" w:rsidTr="003C13B8">
        <w:trPr>
          <w:jc w:val="center"/>
        </w:trPr>
        <w:tc>
          <w:tcPr>
            <w:tcW w:w="2969" w:type="dxa"/>
          </w:tcPr>
          <w:p w:rsidR="00747E87" w:rsidRDefault="00747E87" w:rsidP="00D96FF7">
            <w:pPr>
              <w:rPr>
                <w:sz w:val="20"/>
              </w:rPr>
            </w:pPr>
            <w:r>
              <w:rPr>
                <w:sz w:val="20"/>
              </w:rPr>
              <w:t>Redundancy</w:t>
            </w:r>
          </w:p>
        </w:tc>
        <w:tc>
          <w:tcPr>
            <w:tcW w:w="2481" w:type="dxa"/>
          </w:tcPr>
          <w:p w:rsidR="00747E87" w:rsidRDefault="00CA7A81" w:rsidP="00D96FF7">
            <w:pPr>
              <w:jc w:val="center"/>
              <w:rPr>
                <w:sz w:val="20"/>
              </w:rPr>
            </w:pPr>
            <w:r>
              <w:rPr>
                <w:sz w:val="20"/>
              </w:rPr>
              <w:t>10.23 (10.76</w:t>
            </w:r>
            <w:r w:rsidR="00747E87">
              <w:rPr>
                <w:sz w:val="20"/>
              </w:rPr>
              <w:t>)</w:t>
            </w:r>
          </w:p>
        </w:tc>
      </w:tr>
      <w:tr w:rsidR="00747E87" w:rsidTr="003C13B8">
        <w:trPr>
          <w:jc w:val="center"/>
        </w:trPr>
        <w:tc>
          <w:tcPr>
            <w:tcW w:w="2969" w:type="dxa"/>
          </w:tcPr>
          <w:p w:rsidR="00747E87" w:rsidRDefault="00747E87" w:rsidP="00D96FF7">
            <w:pPr>
              <w:rPr>
                <w:b/>
                <w:bCs/>
                <w:i/>
                <w:iCs/>
                <w:sz w:val="20"/>
              </w:rPr>
            </w:pPr>
          </w:p>
        </w:tc>
        <w:tc>
          <w:tcPr>
            <w:tcW w:w="2481" w:type="dxa"/>
          </w:tcPr>
          <w:p w:rsidR="00747E87" w:rsidRDefault="00747E87" w:rsidP="00D96FF7">
            <w:pPr>
              <w:jc w:val="center"/>
              <w:rPr>
                <w:sz w:val="20"/>
              </w:rPr>
            </w:pPr>
          </w:p>
        </w:tc>
      </w:tr>
      <w:tr w:rsidR="00747E87" w:rsidTr="003C13B8">
        <w:trPr>
          <w:jc w:val="center"/>
        </w:trPr>
        <w:tc>
          <w:tcPr>
            <w:tcW w:w="2969" w:type="dxa"/>
          </w:tcPr>
          <w:p w:rsidR="00747E87" w:rsidRDefault="00747E87" w:rsidP="00D96FF7">
            <w:pPr>
              <w:rPr>
                <w:b/>
                <w:bCs/>
                <w:sz w:val="20"/>
              </w:rPr>
            </w:pPr>
            <w:r>
              <w:rPr>
                <w:b/>
                <w:bCs/>
                <w:sz w:val="20"/>
              </w:rPr>
              <w:t>Refinement</w:t>
            </w:r>
          </w:p>
        </w:tc>
        <w:tc>
          <w:tcPr>
            <w:tcW w:w="2481" w:type="dxa"/>
          </w:tcPr>
          <w:p w:rsidR="00747E87" w:rsidRDefault="00747E87" w:rsidP="00D96FF7">
            <w:pPr>
              <w:jc w:val="center"/>
              <w:rPr>
                <w:sz w:val="20"/>
              </w:rPr>
            </w:pPr>
          </w:p>
        </w:tc>
      </w:tr>
      <w:tr w:rsidR="00747E87" w:rsidTr="003C13B8">
        <w:trPr>
          <w:jc w:val="center"/>
        </w:trPr>
        <w:tc>
          <w:tcPr>
            <w:tcW w:w="2969" w:type="dxa"/>
          </w:tcPr>
          <w:p w:rsidR="00747E87" w:rsidRDefault="00747E87" w:rsidP="00D96FF7">
            <w:pPr>
              <w:rPr>
                <w:sz w:val="20"/>
              </w:rPr>
            </w:pPr>
            <w:r>
              <w:rPr>
                <w:sz w:val="20"/>
              </w:rPr>
              <w:t>Resolution (Å)</w:t>
            </w:r>
          </w:p>
        </w:tc>
        <w:tc>
          <w:tcPr>
            <w:tcW w:w="2481" w:type="dxa"/>
          </w:tcPr>
          <w:p w:rsidR="00747E87" w:rsidRDefault="00A022BE" w:rsidP="00D96FF7">
            <w:pPr>
              <w:jc w:val="center"/>
              <w:rPr>
                <w:sz w:val="20"/>
              </w:rPr>
            </w:pPr>
            <w:r>
              <w:rPr>
                <w:sz w:val="20"/>
              </w:rPr>
              <w:t>58.77</w:t>
            </w:r>
            <w:r w:rsidR="00747E87">
              <w:rPr>
                <w:sz w:val="20"/>
              </w:rPr>
              <w:t xml:space="preserve"> – 2.85</w:t>
            </w:r>
          </w:p>
        </w:tc>
      </w:tr>
      <w:tr w:rsidR="00747E87" w:rsidTr="003C13B8">
        <w:trPr>
          <w:jc w:val="center"/>
        </w:trPr>
        <w:tc>
          <w:tcPr>
            <w:tcW w:w="2969" w:type="dxa"/>
          </w:tcPr>
          <w:p w:rsidR="00747E87" w:rsidRDefault="00747E87" w:rsidP="00D96FF7">
            <w:pPr>
              <w:rPr>
                <w:sz w:val="20"/>
              </w:rPr>
            </w:pPr>
            <w:r>
              <w:rPr>
                <w:sz w:val="20"/>
              </w:rPr>
              <w:t>No. reflections</w:t>
            </w:r>
          </w:p>
        </w:tc>
        <w:tc>
          <w:tcPr>
            <w:tcW w:w="2481" w:type="dxa"/>
          </w:tcPr>
          <w:p w:rsidR="00747E87" w:rsidRDefault="00A022BE" w:rsidP="00D96FF7">
            <w:pPr>
              <w:jc w:val="center"/>
              <w:rPr>
                <w:sz w:val="20"/>
              </w:rPr>
            </w:pPr>
            <w:r>
              <w:rPr>
                <w:sz w:val="20"/>
              </w:rPr>
              <w:t>41,744</w:t>
            </w:r>
          </w:p>
        </w:tc>
      </w:tr>
      <w:tr w:rsidR="00747E87" w:rsidTr="003C13B8">
        <w:trPr>
          <w:jc w:val="center"/>
        </w:trPr>
        <w:tc>
          <w:tcPr>
            <w:tcW w:w="2969" w:type="dxa"/>
          </w:tcPr>
          <w:p w:rsidR="00747E87" w:rsidRDefault="00747E87" w:rsidP="00D96FF7">
            <w:pPr>
              <w:rPr>
                <w:sz w:val="20"/>
              </w:rPr>
            </w:pPr>
            <w:proofErr w:type="spellStart"/>
            <w:r>
              <w:rPr>
                <w:i/>
                <w:iCs/>
                <w:sz w:val="20"/>
              </w:rPr>
              <w:t>R</w:t>
            </w:r>
            <w:r>
              <w:rPr>
                <w:sz w:val="20"/>
                <w:vertAlign w:val="subscript"/>
              </w:rPr>
              <w:t>work</w:t>
            </w:r>
            <w:proofErr w:type="spellEnd"/>
            <w:r>
              <w:rPr>
                <w:sz w:val="20"/>
              </w:rPr>
              <w:t xml:space="preserve"> / </w:t>
            </w:r>
            <w:proofErr w:type="spellStart"/>
            <w:r>
              <w:rPr>
                <w:i/>
                <w:iCs/>
                <w:sz w:val="20"/>
              </w:rPr>
              <w:t>R</w:t>
            </w:r>
            <w:r>
              <w:rPr>
                <w:sz w:val="20"/>
                <w:vertAlign w:val="subscript"/>
              </w:rPr>
              <w:t>free</w:t>
            </w:r>
            <w:proofErr w:type="spellEnd"/>
          </w:p>
        </w:tc>
        <w:tc>
          <w:tcPr>
            <w:tcW w:w="2481" w:type="dxa"/>
          </w:tcPr>
          <w:p w:rsidR="00747E87" w:rsidRDefault="00747E87" w:rsidP="00D96FF7">
            <w:pPr>
              <w:jc w:val="center"/>
              <w:rPr>
                <w:sz w:val="20"/>
              </w:rPr>
            </w:pPr>
            <w:r>
              <w:rPr>
                <w:sz w:val="20"/>
              </w:rPr>
              <w:t>0.21 / 0.27</w:t>
            </w:r>
          </w:p>
        </w:tc>
      </w:tr>
      <w:tr w:rsidR="00747E87" w:rsidTr="003C13B8">
        <w:trPr>
          <w:jc w:val="center"/>
        </w:trPr>
        <w:tc>
          <w:tcPr>
            <w:tcW w:w="2969" w:type="dxa"/>
          </w:tcPr>
          <w:p w:rsidR="00747E87" w:rsidRDefault="00747E87" w:rsidP="00D96FF7">
            <w:pPr>
              <w:rPr>
                <w:sz w:val="20"/>
              </w:rPr>
            </w:pPr>
            <w:r>
              <w:rPr>
                <w:sz w:val="20"/>
              </w:rPr>
              <w:t>No. atoms</w:t>
            </w:r>
          </w:p>
        </w:tc>
        <w:tc>
          <w:tcPr>
            <w:tcW w:w="2481" w:type="dxa"/>
          </w:tcPr>
          <w:p w:rsidR="00747E87" w:rsidRDefault="00747E87" w:rsidP="00D96FF7">
            <w:pPr>
              <w:jc w:val="center"/>
              <w:rPr>
                <w:sz w:val="20"/>
              </w:rPr>
            </w:pPr>
          </w:p>
        </w:tc>
      </w:tr>
      <w:tr w:rsidR="00747E87" w:rsidTr="003C13B8">
        <w:trPr>
          <w:jc w:val="center"/>
        </w:trPr>
        <w:tc>
          <w:tcPr>
            <w:tcW w:w="2969" w:type="dxa"/>
          </w:tcPr>
          <w:p w:rsidR="00747E87" w:rsidRDefault="00747E87" w:rsidP="00D96FF7">
            <w:pPr>
              <w:rPr>
                <w:sz w:val="20"/>
              </w:rPr>
            </w:pPr>
            <w:r>
              <w:rPr>
                <w:sz w:val="20"/>
              </w:rPr>
              <w:t xml:space="preserve">    Protein</w:t>
            </w:r>
          </w:p>
        </w:tc>
        <w:tc>
          <w:tcPr>
            <w:tcW w:w="2481" w:type="dxa"/>
          </w:tcPr>
          <w:p w:rsidR="00747E87" w:rsidRDefault="00747E87" w:rsidP="00D96FF7">
            <w:pPr>
              <w:jc w:val="center"/>
              <w:rPr>
                <w:sz w:val="20"/>
              </w:rPr>
            </w:pPr>
            <w:r>
              <w:rPr>
                <w:sz w:val="20"/>
              </w:rPr>
              <w:t>10,424</w:t>
            </w:r>
          </w:p>
        </w:tc>
      </w:tr>
      <w:tr w:rsidR="00747E87" w:rsidTr="003C13B8">
        <w:trPr>
          <w:jc w:val="center"/>
        </w:trPr>
        <w:tc>
          <w:tcPr>
            <w:tcW w:w="2969" w:type="dxa"/>
          </w:tcPr>
          <w:p w:rsidR="00747E87" w:rsidRDefault="00747E87" w:rsidP="00D96FF7">
            <w:pPr>
              <w:rPr>
                <w:sz w:val="20"/>
              </w:rPr>
            </w:pPr>
            <w:r>
              <w:rPr>
                <w:sz w:val="20"/>
              </w:rPr>
              <w:t xml:space="preserve">    Ligand/ion</w:t>
            </w:r>
          </w:p>
        </w:tc>
        <w:tc>
          <w:tcPr>
            <w:tcW w:w="2481" w:type="dxa"/>
          </w:tcPr>
          <w:p w:rsidR="00747E87" w:rsidRDefault="00747E87" w:rsidP="00D96FF7">
            <w:pPr>
              <w:jc w:val="center"/>
              <w:rPr>
                <w:sz w:val="20"/>
              </w:rPr>
            </w:pPr>
            <w:r>
              <w:rPr>
                <w:sz w:val="20"/>
              </w:rPr>
              <w:t>86 / 2</w:t>
            </w:r>
          </w:p>
        </w:tc>
      </w:tr>
      <w:tr w:rsidR="00747E87" w:rsidTr="003C13B8">
        <w:trPr>
          <w:jc w:val="center"/>
        </w:trPr>
        <w:tc>
          <w:tcPr>
            <w:tcW w:w="2969" w:type="dxa"/>
          </w:tcPr>
          <w:p w:rsidR="00747E87" w:rsidRDefault="00747E87" w:rsidP="00D96FF7">
            <w:pPr>
              <w:rPr>
                <w:sz w:val="20"/>
              </w:rPr>
            </w:pPr>
            <w:r>
              <w:rPr>
                <w:sz w:val="20"/>
              </w:rPr>
              <w:t xml:space="preserve">    Water</w:t>
            </w:r>
          </w:p>
        </w:tc>
        <w:tc>
          <w:tcPr>
            <w:tcW w:w="2481" w:type="dxa"/>
          </w:tcPr>
          <w:p w:rsidR="00747E87" w:rsidRDefault="00747E87" w:rsidP="00D96FF7">
            <w:pPr>
              <w:jc w:val="center"/>
              <w:rPr>
                <w:sz w:val="20"/>
              </w:rPr>
            </w:pPr>
            <w:r>
              <w:rPr>
                <w:sz w:val="20"/>
              </w:rPr>
              <w:t>6</w:t>
            </w:r>
          </w:p>
        </w:tc>
      </w:tr>
      <w:tr w:rsidR="00747E87" w:rsidTr="003C13B8">
        <w:trPr>
          <w:jc w:val="center"/>
        </w:trPr>
        <w:tc>
          <w:tcPr>
            <w:tcW w:w="2969" w:type="dxa"/>
          </w:tcPr>
          <w:p w:rsidR="00747E87" w:rsidRDefault="00747E87" w:rsidP="00D96FF7">
            <w:pPr>
              <w:rPr>
                <w:sz w:val="20"/>
              </w:rPr>
            </w:pPr>
            <w:r>
              <w:rPr>
                <w:i/>
                <w:sz w:val="20"/>
              </w:rPr>
              <w:t>B</w:t>
            </w:r>
            <w:r>
              <w:rPr>
                <w:sz w:val="20"/>
              </w:rPr>
              <w:t>-factors</w:t>
            </w:r>
          </w:p>
        </w:tc>
        <w:tc>
          <w:tcPr>
            <w:tcW w:w="2481" w:type="dxa"/>
          </w:tcPr>
          <w:p w:rsidR="00747E87" w:rsidRDefault="00747E87" w:rsidP="00D96FF7">
            <w:pPr>
              <w:jc w:val="center"/>
              <w:rPr>
                <w:sz w:val="16"/>
              </w:rPr>
            </w:pPr>
          </w:p>
        </w:tc>
      </w:tr>
      <w:tr w:rsidR="00747E87" w:rsidTr="003C13B8">
        <w:trPr>
          <w:jc w:val="center"/>
        </w:trPr>
        <w:tc>
          <w:tcPr>
            <w:tcW w:w="2969" w:type="dxa"/>
          </w:tcPr>
          <w:p w:rsidR="00747E87" w:rsidRDefault="00747E87" w:rsidP="00D96FF7">
            <w:pPr>
              <w:rPr>
                <w:sz w:val="20"/>
              </w:rPr>
            </w:pPr>
            <w:r>
              <w:rPr>
                <w:sz w:val="20"/>
              </w:rPr>
              <w:t xml:space="preserve">    Protein</w:t>
            </w:r>
          </w:p>
        </w:tc>
        <w:tc>
          <w:tcPr>
            <w:tcW w:w="2481" w:type="dxa"/>
          </w:tcPr>
          <w:p w:rsidR="00747E87" w:rsidRDefault="008E0F21" w:rsidP="00D96FF7">
            <w:pPr>
              <w:jc w:val="center"/>
              <w:rPr>
                <w:sz w:val="20"/>
              </w:rPr>
            </w:pPr>
            <w:r>
              <w:rPr>
                <w:sz w:val="20"/>
              </w:rPr>
              <w:t>84.00</w:t>
            </w:r>
          </w:p>
        </w:tc>
      </w:tr>
      <w:tr w:rsidR="00747E87" w:rsidTr="003C13B8">
        <w:trPr>
          <w:jc w:val="center"/>
        </w:trPr>
        <w:tc>
          <w:tcPr>
            <w:tcW w:w="2969" w:type="dxa"/>
          </w:tcPr>
          <w:p w:rsidR="00747E87" w:rsidRDefault="00747E87" w:rsidP="00D96FF7">
            <w:pPr>
              <w:rPr>
                <w:sz w:val="20"/>
              </w:rPr>
            </w:pPr>
            <w:r>
              <w:rPr>
                <w:sz w:val="20"/>
              </w:rPr>
              <w:t xml:space="preserve">    Ligand/ion</w:t>
            </w:r>
          </w:p>
        </w:tc>
        <w:tc>
          <w:tcPr>
            <w:tcW w:w="2481" w:type="dxa"/>
          </w:tcPr>
          <w:p w:rsidR="00747E87" w:rsidRDefault="008E0F21" w:rsidP="00D96FF7">
            <w:pPr>
              <w:jc w:val="center"/>
              <w:rPr>
                <w:sz w:val="20"/>
              </w:rPr>
            </w:pPr>
            <w:r>
              <w:rPr>
                <w:sz w:val="20"/>
              </w:rPr>
              <w:t>58.37</w:t>
            </w:r>
          </w:p>
        </w:tc>
      </w:tr>
      <w:tr w:rsidR="00747E87" w:rsidTr="003C13B8">
        <w:trPr>
          <w:jc w:val="center"/>
        </w:trPr>
        <w:tc>
          <w:tcPr>
            <w:tcW w:w="2969" w:type="dxa"/>
          </w:tcPr>
          <w:p w:rsidR="00747E87" w:rsidRDefault="00747E87" w:rsidP="00D96FF7">
            <w:pPr>
              <w:rPr>
                <w:sz w:val="20"/>
              </w:rPr>
            </w:pPr>
            <w:r>
              <w:rPr>
                <w:sz w:val="20"/>
              </w:rPr>
              <w:t xml:space="preserve">    Water</w:t>
            </w:r>
          </w:p>
        </w:tc>
        <w:tc>
          <w:tcPr>
            <w:tcW w:w="2481" w:type="dxa"/>
          </w:tcPr>
          <w:p w:rsidR="00747E87" w:rsidRDefault="008E0F21" w:rsidP="00D96FF7">
            <w:pPr>
              <w:jc w:val="center"/>
              <w:rPr>
                <w:sz w:val="20"/>
              </w:rPr>
            </w:pPr>
            <w:r>
              <w:rPr>
                <w:sz w:val="20"/>
              </w:rPr>
              <w:t>31.26</w:t>
            </w:r>
          </w:p>
        </w:tc>
      </w:tr>
      <w:tr w:rsidR="00747E87" w:rsidTr="003C13B8">
        <w:trPr>
          <w:jc w:val="center"/>
        </w:trPr>
        <w:tc>
          <w:tcPr>
            <w:tcW w:w="2969" w:type="dxa"/>
          </w:tcPr>
          <w:p w:rsidR="00747E87" w:rsidRDefault="00747E87" w:rsidP="00D96FF7">
            <w:pPr>
              <w:rPr>
                <w:sz w:val="20"/>
              </w:rPr>
            </w:pPr>
            <w:proofErr w:type="spellStart"/>
            <w:r>
              <w:rPr>
                <w:sz w:val="20"/>
              </w:rPr>
              <w:t>R.m.s</w:t>
            </w:r>
            <w:proofErr w:type="spellEnd"/>
            <w:r>
              <w:rPr>
                <w:sz w:val="20"/>
              </w:rPr>
              <w:t>. deviations</w:t>
            </w:r>
          </w:p>
        </w:tc>
        <w:tc>
          <w:tcPr>
            <w:tcW w:w="2481" w:type="dxa"/>
          </w:tcPr>
          <w:p w:rsidR="00747E87" w:rsidRDefault="00747E87" w:rsidP="00D96FF7">
            <w:pPr>
              <w:jc w:val="center"/>
              <w:rPr>
                <w:sz w:val="20"/>
              </w:rPr>
            </w:pPr>
          </w:p>
        </w:tc>
      </w:tr>
      <w:tr w:rsidR="00747E87" w:rsidTr="003C13B8">
        <w:trPr>
          <w:jc w:val="center"/>
        </w:trPr>
        <w:tc>
          <w:tcPr>
            <w:tcW w:w="2969" w:type="dxa"/>
          </w:tcPr>
          <w:p w:rsidR="00747E87" w:rsidRDefault="00747E87" w:rsidP="00D96FF7">
            <w:pPr>
              <w:rPr>
                <w:sz w:val="20"/>
              </w:rPr>
            </w:pPr>
            <w:r>
              <w:rPr>
                <w:sz w:val="20"/>
              </w:rPr>
              <w:t xml:space="preserve">    Bond lengths (Å)</w:t>
            </w:r>
          </w:p>
        </w:tc>
        <w:tc>
          <w:tcPr>
            <w:tcW w:w="2481" w:type="dxa"/>
          </w:tcPr>
          <w:p w:rsidR="00747E87" w:rsidRDefault="00747E87" w:rsidP="00D96FF7">
            <w:pPr>
              <w:jc w:val="center"/>
              <w:rPr>
                <w:sz w:val="20"/>
              </w:rPr>
            </w:pPr>
            <w:r>
              <w:rPr>
                <w:sz w:val="20"/>
              </w:rPr>
              <w:t>0.008</w:t>
            </w:r>
          </w:p>
        </w:tc>
      </w:tr>
      <w:tr w:rsidR="00747E87" w:rsidTr="003C13B8">
        <w:trPr>
          <w:jc w:val="center"/>
        </w:trPr>
        <w:tc>
          <w:tcPr>
            <w:tcW w:w="2969" w:type="dxa"/>
            <w:tcBorders>
              <w:bottom w:val="single" w:sz="12" w:space="0" w:color="auto"/>
            </w:tcBorders>
          </w:tcPr>
          <w:p w:rsidR="00747E87" w:rsidRDefault="00747E87" w:rsidP="00D96FF7">
            <w:pPr>
              <w:rPr>
                <w:sz w:val="20"/>
              </w:rPr>
            </w:pPr>
            <w:r>
              <w:rPr>
                <w:sz w:val="20"/>
              </w:rPr>
              <w:t xml:space="preserve">    Bond angles (</w:t>
            </w:r>
            <w:r>
              <w:rPr>
                <w:sz w:val="20"/>
              </w:rPr>
              <w:sym w:font="Symbol" w:char="F0B0"/>
            </w:r>
            <w:r>
              <w:rPr>
                <w:sz w:val="20"/>
              </w:rPr>
              <w:t>)</w:t>
            </w:r>
          </w:p>
        </w:tc>
        <w:tc>
          <w:tcPr>
            <w:tcW w:w="2481" w:type="dxa"/>
            <w:tcBorders>
              <w:bottom w:val="single" w:sz="12" w:space="0" w:color="auto"/>
            </w:tcBorders>
          </w:tcPr>
          <w:p w:rsidR="00747E87" w:rsidRDefault="000506DC" w:rsidP="00D96FF7">
            <w:pPr>
              <w:jc w:val="center"/>
              <w:rPr>
                <w:sz w:val="20"/>
              </w:rPr>
            </w:pPr>
            <w:r>
              <w:rPr>
                <w:sz w:val="20"/>
              </w:rPr>
              <w:t>1.141</w:t>
            </w:r>
          </w:p>
        </w:tc>
      </w:tr>
    </w:tbl>
    <w:p w:rsidR="00C618E5" w:rsidRDefault="00747E87" w:rsidP="00747E87">
      <w:pPr>
        <w:rPr>
          <w:b/>
        </w:rPr>
      </w:pPr>
      <w:r>
        <w:rPr>
          <w:b/>
        </w:rPr>
        <w:t xml:space="preserve"> </w:t>
      </w:r>
    </w:p>
    <w:p w:rsidR="00EB19DB" w:rsidRDefault="003129D2" w:rsidP="00747E87">
      <w:pPr>
        <w:rPr>
          <w:sz w:val="20"/>
        </w:rPr>
      </w:pPr>
      <w:r>
        <w:rPr>
          <w:sz w:val="20"/>
          <w:vertAlign w:val="superscript"/>
        </w:rPr>
        <w:t>*</w:t>
      </w:r>
      <w:r w:rsidRPr="003129D2">
        <w:rPr>
          <w:sz w:val="20"/>
        </w:rPr>
        <w:t xml:space="preserve">1 crystal has been used for data collection. </w:t>
      </w:r>
      <w:r>
        <w:rPr>
          <w:sz w:val="20"/>
          <w:vertAlign w:val="superscript"/>
        </w:rPr>
        <w:t>$</w:t>
      </w:r>
      <w:r w:rsidR="00747E87" w:rsidRPr="00EC565E">
        <w:rPr>
          <w:sz w:val="20"/>
        </w:rPr>
        <w:t>Values in parentheses are for highest-resolution shell.</w:t>
      </w:r>
    </w:p>
    <w:p w:rsidR="009A2D08" w:rsidRDefault="009A2D08" w:rsidP="009F33DE">
      <w:pPr>
        <w:spacing w:after="200" w:line="480" w:lineRule="auto"/>
        <w:jc w:val="both"/>
        <w:rPr>
          <w:b/>
        </w:rPr>
      </w:pPr>
    </w:p>
    <w:p w:rsidR="009A2D08" w:rsidRDefault="009A2D08" w:rsidP="009F33DE">
      <w:pPr>
        <w:spacing w:after="200" w:line="480" w:lineRule="auto"/>
        <w:jc w:val="both"/>
        <w:rPr>
          <w:b/>
        </w:rPr>
      </w:pPr>
    </w:p>
    <w:p w:rsidR="009A2D08" w:rsidRDefault="00505DE6" w:rsidP="00505DE6">
      <w:pPr>
        <w:tabs>
          <w:tab w:val="left" w:pos="1728"/>
        </w:tabs>
        <w:spacing w:after="200" w:line="480" w:lineRule="auto"/>
        <w:jc w:val="both"/>
        <w:rPr>
          <w:b/>
        </w:rPr>
      </w:pPr>
      <w:r>
        <w:rPr>
          <w:b/>
        </w:rPr>
        <w:tab/>
      </w:r>
    </w:p>
    <w:p w:rsidR="009A2D08" w:rsidRDefault="009A2D08" w:rsidP="009F33DE">
      <w:pPr>
        <w:spacing w:after="200" w:line="480" w:lineRule="auto"/>
        <w:jc w:val="both"/>
        <w:rPr>
          <w:b/>
        </w:rPr>
      </w:pPr>
    </w:p>
    <w:p w:rsidR="009A2D08" w:rsidRDefault="009A2D08" w:rsidP="009F33DE">
      <w:pPr>
        <w:spacing w:after="200" w:line="480" w:lineRule="auto"/>
        <w:jc w:val="both"/>
        <w:rPr>
          <w:b/>
        </w:rPr>
      </w:pPr>
    </w:p>
    <w:p w:rsidR="009A2D08" w:rsidRDefault="009A2D08" w:rsidP="009F33DE">
      <w:pPr>
        <w:spacing w:after="200" w:line="480" w:lineRule="auto"/>
        <w:jc w:val="both"/>
        <w:rPr>
          <w:b/>
        </w:rPr>
      </w:pPr>
    </w:p>
    <w:p w:rsidR="003D67E5" w:rsidRDefault="003D67E5" w:rsidP="009F33DE">
      <w:pPr>
        <w:spacing w:after="200" w:line="480" w:lineRule="auto"/>
        <w:jc w:val="both"/>
        <w:rPr>
          <w:b/>
        </w:rPr>
      </w:pPr>
    </w:p>
    <w:p w:rsidR="00B06E13" w:rsidRPr="009F33DE" w:rsidRDefault="00362A5F" w:rsidP="009F33DE">
      <w:pPr>
        <w:spacing w:after="200" w:line="480" w:lineRule="auto"/>
        <w:jc w:val="both"/>
        <w:rPr>
          <w:szCs w:val="24"/>
        </w:rPr>
      </w:pPr>
      <w:proofErr w:type="gramStart"/>
      <w:r>
        <w:rPr>
          <w:b/>
        </w:rPr>
        <w:lastRenderedPageBreak/>
        <w:t>Supplementary Table 3</w:t>
      </w:r>
      <w:r w:rsidR="00026853">
        <w:rPr>
          <w:b/>
        </w:rPr>
        <w:t>.</w:t>
      </w:r>
      <w:proofErr w:type="gramEnd"/>
      <w:r w:rsidR="00B06E13">
        <w:rPr>
          <w:b/>
        </w:rPr>
        <w:t xml:space="preserve"> </w:t>
      </w:r>
      <w:proofErr w:type="gramStart"/>
      <w:r w:rsidR="00B06E13">
        <w:rPr>
          <w:b/>
        </w:rPr>
        <w:t>Overview of oligonucleotides and buffers.</w:t>
      </w:r>
      <w:proofErr w:type="gramEnd"/>
      <w:r w:rsidR="00B06E13">
        <w:rPr>
          <w:b/>
        </w:rPr>
        <w:t xml:space="preserve"> (</w:t>
      </w:r>
      <w:r w:rsidRPr="00362A5F">
        <w:rPr>
          <w:b/>
        </w:rPr>
        <w:t>a</w:t>
      </w:r>
      <w:r w:rsidR="00B06E13">
        <w:rPr>
          <w:b/>
        </w:rPr>
        <w:t>)</w:t>
      </w:r>
      <w:r w:rsidR="00B06E13">
        <w:t xml:space="preserve"> Oligonucleotides used in this study. </w:t>
      </w:r>
      <w:r w:rsidR="00B06E13" w:rsidRPr="00B06E13">
        <w:rPr>
          <w:b/>
        </w:rPr>
        <w:t>(</w:t>
      </w:r>
      <w:r w:rsidRPr="00362A5F">
        <w:rPr>
          <w:b/>
        </w:rPr>
        <w:t>b</w:t>
      </w:r>
      <w:r w:rsidR="00B06E13" w:rsidRPr="00B06E13">
        <w:rPr>
          <w:b/>
        </w:rPr>
        <w:t>)</w:t>
      </w:r>
      <w:r w:rsidR="00B06E13">
        <w:t xml:space="preserve"> Buffers used for purification and storage of the different </w:t>
      </w:r>
      <w:r w:rsidR="00B06E13" w:rsidRPr="00B06E13">
        <w:rPr>
          <w:i/>
        </w:rPr>
        <w:t>Is</w:t>
      </w:r>
      <w:r w:rsidR="00B06E13">
        <w:t xml:space="preserve">PadC variants. </w:t>
      </w:r>
    </w:p>
    <w:p w:rsidR="00472BE8" w:rsidRDefault="00472BE8" w:rsidP="00472BE8"/>
    <w:tbl>
      <w:tblPr>
        <w:tblStyle w:val="HelleSchattierung"/>
        <w:tblW w:w="9665" w:type="dxa"/>
        <w:jc w:val="center"/>
        <w:tblBorders>
          <w:top w:val="none" w:sz="0" w:space="0" w:color="auto"/>
          <w:bottom w:val="single" w:sz="4" w:space="0" w:color="auto"/>
        </w:tblBorders>
        <w:tblLayout w:type="fixed"/>
        <w:tblLook w:val="04A0" w:firstRow="1" w:lastRow="0" w:firstColumn="1" w:lastColumn="0" w:noHBand="0" w:noVBand="1"/>
      </w:tblPr>
      <w:tblGrid>
        <w:gridCol w:w="1697"/>
        <w:gridCol w:w="7968"/>
      </w:tblGrid>
      <w:tr w:rsidR="00D92ACD" w:rsidRPr="00D97E0B" w:rsidTr="006A010E">
        <w:trPr>
          <w:cnfStyle w:val="100000000000" w:firstRow="1" w:lastRow="0" w:firstColumn="0" w:lastColumn="0" w:oddVBand="0" w:evenVBand="0" w:oddHBand="0"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9665" w:type="dxa"/>
            <w:gridSpan w:val="2"/>
            <w:tcBorders>
              <w:top w:val="none" w:sz="0" w:space="0" w:color="auto"/>
              <w:left w:val="none" w:sz="0" w:space="0" w:color="auto"/>
              <w:bottom w:val="single" w:sz="4" w:space="0" w:color="auto"/>
              <w:right w:val="none" w:sz="0" w:space="0" w:color="auto"/>
            </w:tcBorders>
            <w:shd w:val="clear" w:color="auto" w:fill="BFBFBF"/>
            <w:vAlign w:val="center"/>
          </w:tcPr>
          <w:p w:rsidR="00D92ACD" w:rsidRPr="00D97E0B" w:rsidRDefault="00D92ACD" w:rsidP="00D96FF7">
            <w:pPr>
              <w:jc w:val="both"/>
              <w:rPr>
                <w:rFonts w:ascii="Arial" w:hAnsi="Arial" w:cs="Arial"/>
                <w:sz w:val="14"/>
                <w:szCs w:val="14"/>
                <w:lang w:val="en-US"/>
              </w:rPr>
            </w:pPr>
            <w:r w:rsidRPr="00D97E0B">
              <w:rPr>
                <w:rFonts w:ascii="Arial" w:hAnsi="Arial" w:cs="Arial"/>
                <w:b w:val="0"/>
                <w:sz w:val="14"/>
                <w:szCs w:val="14"/>
                <w:lang w:val="en-US"/>
              </w:rPr>
              <w:t>Panel</w:t>
            </w:r>
            <w:r w:rsidR="0017438E">
              <w:rPr>
                <w:rFonts w:ascii="Arial" w:hAnsi="Arial" w:cs="Arial"/>
                <w:sz w:val="14"/>
                <w:szCs w:val="14"/>
                <w:lang w:val="en-US"/>
              </w:rPr>
              <w:t xml:space="preserve"> a</w:t>
            </w:r>
            <w:r w:rsidRPr="00D97E0B">
              <w:rPr>
                <w:rFonts w:ascii="Arial" w:hAnsi="Arial" w:cs="Arial"/>
                <w:sz w:val="14"/>
                <w:szCs w:val="14"/>
                <w:lang w:val="en-US"/>
              </w:rPr>
              <w:t xml:space="preserve"> </w:t>
            </w:r>
            <w:r w:rsidRPr="00D97E0B">
              <w:rPr>
                <w:rFonts w:ascii="Arial" w:hAnsi="Arial" w:cs="Arial"/>
                <w:b w:val="0"/>
                <w:sz w:val="14"/>
                <w:szCs w:val="14"/>
                <w:lang w:val="en-US"/>
              </w:rPr>
              <w:t>- oligonucleotides</w:t>
            </w:r>
          </w:p>
        </w:tc>
      </w:tr>
      <w:tr w:rsidR="00D92ACD" w:rsidRPr="00D97E0B" w:rsidTr="006A010E">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1697" w:type="dxa"/>
            <w:tcBorders>
              <w:top w:val="single" w:sz="4" w:space="0" w:color="auto"/>
              <w:left w:val="none" w:sz="0" w:space="0" w:color="auto"/>
              <w:right w:val="none" w:sz="0" w:space="0" w:color="auto"/>
            </w:tcBorders>
            <w:shd w:val="clear" w:color="auto" w:fill="FFFFFF"/>
            <w:vAlign w:val="center"/>
          </w:tcPr>
          <w:p w:rsidR="00D92ACD" w:rsidRPr="00D97E0B" w:rsidRDefault="00D92ACD" w:rsidP="00D96FF7">
            <w:pPr>
              <w:jc w:val="center"/>
              <w:rPr>
                <w:rFonts w:ascii="Arial" w:hAnsi="Arial" w:cs="Arial"/>
                <w:sz w:val="14"/>
                <w:szCs w:val="14"/>
                <w:lang w:val="en-US"/>
              </w:rPr>
            </w:pPr>
            <w:r w:rsidRPr="00D97E0B">
              <w:rPr>
                <w:rFonts w:ascii="Arial" w:hAnsi="Arial" w:cs="Arial"/>
                <w:sz w:val="14"/>
                <w:szCs w:val="14"/>
                <w:lang w:val="en-US"/>
              </w:rPr>
              <w:t>Desired construct</w:t>
            </w:r>
          </w:p>
        </w:tc>
        <w:tc>
          <w:tcPr>
            <w:tcW w:w="7968" w:type="dxa"/>
            <w:tcBorders>
              <w:top w:val="single" w:sz="4" w:space="0" w:color="auto"/>
              <w:left w:val="none" w:sz="0" w:space="0" w:color="auto"/>
              <w:bottom w:val="nil"/>
              <w:right w:val="none" w:sz="0" w:space="0" w:color="auto"/>
            </w:tcBorders>
            <w:shd w:val="clear" w:color="auto" w:fill="FFFFFF"/>
            <w:vAlign w:val="center"/>
          </w:tcPr>
          <w:p w:rsidR="00D92ACD" w:rsidRPr="00D97E0B" w:rsidRDefault="00D92ACD" w:rsidP="00D96FF7">
            <w:pPr>
              <w:jc w:val="both"/>
              <w:cnfStyle w:val="000000100000" w:firstRow="0" w:lastRow="0" w:firstColumn="0" w:lastColumn="0" w:oddVBand="0" w:evenVBand="0" w:oddHBand="1" w:evenHBand="0" w:firstRowFirstColumn="0" w:firstRowLastColumn="0" w:lastRowFirstColumn="0" w:lastRowLastColumn="0"/>
              <w:rPr>
                <w:rFonts w:ascii="Arial" w:hAnsi="Arial" w:cs="Arial"/>
                <w:b/>
                <w:sz w:val="14"/>
                <w:szCs w:val="14"/>
                <w:lang w:val="en-US"/>
              </w:rPr>
            </w:pPr>
            <w:r w:rsidRPr="00D97E0B">
              <w:rPr>
                <w:rFonts w:ascii="Arial" w:hAnsi="Arial" w:cs="Arial"/>
                <w:b/>
                <w:sz w:val="14"/>
                <w:szCs w:val="14"/>
                <w:lang w:val="en-US"/>
              </w:rPr>
              <w:t>Oligonucleotide (5‘-3‘)</w:t>
            </w:r>
          </w:p>
        </w:tc>
      </w:tr>
      <w:tr w:rsidR="00D92ACD" w:rsidRPr="00D97E0B" w:rsidTr="006A010E">
        <w:trPr>
          <w:trHeight w:val="276"/>
          <w:jc w:val="center"/>
        </w:trPr>
        <w:tc>
          <w:tcPr>
            <w:cnfStyle w:val="001000000000" w:firstRow="0" w:lastRow="0" w:firstColumn="1" w:lastColumn="0" w:oddVBand="0" w:evenVBand="0" w:oddHBand="0" w:evenHBand="0" w:firstRowFirstColumn="0" w:firstRowLastColumn="0" w:lastRowFirstColumn="0" w:lastRowLastColumn="0"/>
            <w:tcW w:w="1697" w:type="dxa"/>
            <w:shd w:val="clear" w:color="auto" w:fill="auto"/>
            <w:vAlign w:val="center"/>
          </w:tcPr>
          <w:p w:rsidR="00D92ACD" w:rsidRPr="00D97E0B" w:rsidRDefault="00D92ACD" w:rsidP="00D96FF7">
            <w:pPr>
              <w:jc w:val="center"/>
              <w:rPr>
                <w:rFonts w:ascii="Arial" w:hAnsi="Arial" w:cs="Arial"/>
                <w:b w:val="0"/>
                <w:sz w:val="14"/>
                <w:szCs w:val="14"/>
                <w:lang w:val="en-US"/>
              </w:rPr>
            </w:pPr>
            <w:r w:rsidRPr="00D97E0B">
              <w:rPr>
                <w:rFonts w:ascii="Arial" w:hAnsi="Arial" w:cs="Arial"/>
                <w:b w:val="0"/>
                <w:i/>
                <w:sz w:val="14"/>
                <w:szCs w:val="14"/>
                <w:lang w:val="en-US"/>
              </w:rPr>
              <w:t>Is</w:t>
            </w:r>
            <w:r w:rsidRPr="00D97E0B">
              <w:rPr>
                <w:rFonts w:ascii="Arial" w:hAnsi="Arial" w:cs="Arial"/>
                <w:b w:val="0"/>
                <w:sz w:val="14"/>
                <w:szCs w:val="14"/>
                <w:lang w:val="en-US"/>
              </w:rPr>
              <w:t xml:space="preserve">PadC </w:t>
            </w:r>
          </w:p>
          <w:p w:rsidR="00D92ACD" w:rsidRPr="00D97E0B" w:rsidRDefault="00D92ACD" w:rsidP="00D96FF7">
            <w:pPr>
              <w:jc w:val="center"/>
              <w:rPr>
                <w:rFonts w:ascii="Arial" w:hAnsi="Arial" w:cs="Arial"/>
                <w:b w:val="0"/>
                <w:sz w:val="14"/>
                <w:szCs w:val="14"/>
                <w:vertAlign w:val="superscript"/>
                <w:lang w:val="en-US"/>
              </w:rPr>
            </w:pPr>
            <w:r w:rsidRPr="00D97E0B">
              <w:rPr>
                <w:rFonts w:ascii="Arial" w:hAnsi="Arial" w:cs="Arial"/>
                <w:b w:val="0"/>
                <w:sz w:val="14"/>
                <w:szCs w:val="14"/>
                <w:vertAlign w:val="superscript"/>
                <w:lang w:val="en-US"/>
              </w:rPr>
              <w:t>Reg1</w:t>
            </w:r>
          </w:p>
        </w:tc>
        <w:tc>
          <w:tcPr>
            <w:tcW w:w="7968" w:type="dxa"/>
            <w:shd w:val="clear" w:color="auto" w:fill="auto"/>
            <w:vAlign w:val="center"/>
          </w:tcPr>
          <w:p w:rsidR="00D92ACD" w:rsidRPr="00D97E0B" w:rsidRDefault="00D92ACD" w:rsidP="00D96FF7">
            <w:pPr>
              <w:jc w:val="both"/>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de-DE"/>
              </w:rPr>
            </w:pPr>
            <w:proofErr w:type="spellStart"/>
            <w:r w:rsidRPr="00D97E0B">
              <w:rPr>
                <w:rFonts w:ascii="Arial" w:hAnsi="Arial" w:cs="Arial"/>
                <w:sz w:val="14"/>
                <w:szCs w:val="14"/>
                <w:lang w:val="en-US"/>
              </w:rPr>
              <w:t>fw</w:t>
            </w:r>
            <w:proofErr w:type="spellEnd"/>
            <w:r w:rsidRPr="00D97E0B">
              <w:rPr>
                <w:rFonts w:ascii="Arial" w:hAnsi="Arial" w:cs="Arial"/>
                <w:sz w:val="14"/>
                <w:szCs w:val="14"/>
                <w:lang w:val="en-US"/>
              </w:rPr>
              <w:t>:</w:t>
            </w:r>
            <w:r w:rsidR="003F72C5" w:rsidRPr="00D97E0B">
              <w:rPr>
                <w:rFonts w:ascii="Arial" w:hAnsi="Arial" w:cs="Arial"/>
                <w:color w:val="6D6D6D"/>
                <w:sz w:val="14"/>
                <w:szCs w:val="14"/>
                <w:lang w:val="en-US"/>
              </w:rPr>
              <w:t xml:space="preserve"> </w:t>
            </w:r>
            <w:r w:rsidR="003F72C5" w:rsidRPr="00D97E0B">
              <w:rPr>
                <w:rFonts w:ascii="Arial" w:hAnsi="Arial" w:cs="Arial"/>
                <w:color w:val="auto"/>
                <w:sz w:val="14"/>
                <w:szCs w:val="14"/>
                <w:lang w:val="en-US"/>
              </w:rPr>
              <w:t>CTGAATCTGCTGAATGATCAGCTGGCAGATCTAAATGAA</w:t>
            </w:r>
            <w:r w:rsidR="003F72C5" w:rsidRPr="00D97E0B">
              <w:rPr>
                <w:rFonts w:ascii="Arial" w:hAnsi="Arial" w:cs="Arial"/>
                <w:color w:val="auto"/>
                <w:sz w:val="14"/>
                <w:szCs w:val="14"/>
              </w:rPr>
              <w:t>AATCTGGAAAAACTGG</w:t>
            </w:r>
            <w:r w:rsidRPr="00D97E0B">
              <w:rPr>
                <w:rFonts w:ascii="Arial" w:hAnsi="Arial" w:cs="Arial"/>
                <w:sz w:val="14"/>
                <w:szCs w:val="14"/>
                <w:lang w:val="de-DE"/>
              </w:rPr>
              <w:t xml:space="preserve"> </w:t>
            </w:r>
          </w:p>
          <w:p w:rsidR="00D92ACD" w:rsidRPr="00D97E0B" w:rsidRDefault="00D92ACD" w:rsidP="009A6BF7">
            <w:pPr>
              <w:jc w:val="both"/>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de-DE"/>
              </w:rPr>
            </w:pPr>
            <w:proofErr w:type="spellStart"/>
            <w:r w:rsidRPr="00D97E0B">
              <w:rPr>
                <w:rFonts w:ascii="Arial" w:hAnsi="Arial" w:cs="Arial"/>
                <w:sz w:val="14"/>
                <w:szCs w:val="14"/>
                <w:lang w:val="de-DE"/>
              </w:rPr>
              <w:t>rv</w:t>
            </w:r>
            <w:proofErr w:type="spellEnd"/>
            <w:r w:rsidRPr="00D97E0B">
              <w:rPr>
                <w:rFonts w:ascii="Arial" w:hAnsi="Arial" w:cs="Arial"/>
                <w:sz w:val="14"/>
                <w:szCs w:val="14"/>
                <w:lang w:val="de-DE"/>
              </w:rPr>
              <w:t>:</w:t>
            </w:r>
            <w:r w:rsidR="009A6BF7" w:rsidRPr="00D97E0B">
              <w:rPr>
                <w:rFonts w:ascii="Arial" w:hAnsi="Arial" w:cs="Arial"/>
                <w:sz w:val="14"/>
                <w:szCs w:val="14"/>
                <w:lang w:eastAsia="de-DE"/>
              </w:rPr>
              <w:t xml:space="preserve"> </w:t>
            </w:r>
            <w:r w:rsidR="003F72C5" w:rsidRPr="00D97E0B">
              <w:rPr>
                <w:rFonts w:ascii="Arial" w:hAnsi="Arial" w:cs="Arial"/>
                <w:color w:val="auto"/>
                <w:sz w:val="14"/>
                <w:szCs w:val="14"/>
              </w:rPr>
              <w:t>CTGATCATTCAGCAGATTCAGCTGCATGCTAAGTGCCACAATCAGC</w:t>
            </w:r>
          </w:p>
        </w:tc>
      </w:tr>
      <w:tr w:rsidR="00D92ACD" w:rsidRPr="00D97E0B" w:rsidTr="006A010E">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1697" w:type="dxa"/>
            <w:tcBorders>
              <w:left w:val="none" w:sz="0" w:space="0" w:color="auto"/>
              <w:right w:val="none" w:sz="0" w:space="0" w:color="auto"/>
            </w:tcBorders>
            <w:shd w:val="clear" w:color="auto" w:fill="auto"/>
            <w:vAlign w:val="center"/>
          </w:tcPr>
          <w:p w:rsidR="00D92ACD" w:rsidRPr="00D97E0B" w:rsidRDefault="00D92ACD" w:rsidP="00D96FF7">
            <w:pPr>
              <w:jc w:val="center"/>
              <w:rPr>
                <w:rFonts w:ascii="Arial" w:hAnsi="Arial" w:cs="Arial"/>
                <w:b w:val="0"/>
                <w:sz w:val="14"/>
                <w:szCs w:val="14"/>
                <w:lang w:val="de-DE"/>
              </w:rPr>
            </w:pPr>
            <w:r w:rsidRPr="00D97E0B">
              <w:rPr>
                <w:rFonts w:ascii="Arial" w:hAnsi="Arial" w:cs="Arial"/>
                <w:b w:val="0"/>
                <w:i/>
                <w:sz w:val="14"/>
                <w:szCs w:val="14"/>
                <w:lang w:val="de-DE"/>
              </w:rPr>
              <w:t>Is</w:t>
            </w:r>
            <w:r w:rsidRPr="00D97E0B">
              <w:rPr>
                <w:rFonts w:ascii="Arial" w:hAnsi="Arial" w:cs="Arial"/>
                <w:b w:val="0"/>
                <w:sz w:val="14"/>
                <w:szCs w:val="14"/>
                <w:lang w:val="de-DE"/>
              </w:rPr>
              <w:t xml:space="preserve">PadC </w:t>
            </w:r>
          </w:p>
          <w:p w:rsidR="00D92ACD" w:rsidRPr="00D97E0B" w:rsidRDefault="00D92ACD" w:rsidP="00D96FF7">
            <w:pPr>
              <w:jc w:val="center"/>
              <w:rPr>
                <w:rFonts w:ascii="Arial" w:hAnsi="Arial" w:cs="Arial"/>
                <w:b w:val="0"/>
                <w:sz w:val="14"/>
                <w:szCs w:val="14"/>
                <w:vertAlign w:val="superscript"/>
                <w:lang w:val="de-DE"/>
              </w:rPr>
            </w:pPr>
            <w:r w:rsidRPr="00D97E0B">
              <w:rPr>
                <w:rFonts w:ascii="Arial" w:hAnsi="Arial" w:cs="Arial"/>
                <w:b w:val="0"/>
                <w:sz w:val="14"/>
                <w:szCs w:val="14"/>
                <w:vertAlign w:val="superscript"/>
                <w:lang w:val="de-DE"/>
              </w:rPr>
              <w:t>Reg2</w:t>
            </w:r>
          </w:p>
        </w:tc>
        <w:tc>
          <w:tcPr>
            <w:tcW w:w="7968" w:type="dxa"/>
            <w:tcBorders>
              <w:left w:val="none" w:sz="0" w:space="0" w:color="auto"/>
              <w:right w:val="none" w:sz="0" w:space="0" w:color="auto"/>
            </w:tcBorders>
            <w:shd w:val="clear" w:color="auto" w:fill="auto"/>
            <w:vAlign w:val="center"/>
          </w:tcPr>
          <w:p w:rsidR="00D92ACD" w:rsidRPr="00D97E0B" w:rsidRDefault="00D92ACD" w:rsidP="00D96FF7">
            <w:pPr>
              <w:jc w:val="both"/>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de-DE"/>
              </w:rPr>
            </w:pPr>
            <w:proofErr w:type="spellStart"/>
            <w:r w:rsidRPr="00D97E0B">
              <w:rPr>
                <w:rFonts w:ascii="Arial" w:hAnsi="Arial" w:cs="Arial"/>
                <w:sz w:val="14"/>
                <w:szCs w:val="14"/>
                <w:lang w:val="de-DE"/>
              </w:rPr>
              <w:t>fw</w:t>
            </w:r>
            <w:proofErr w:type="spellEnd"/>
            <w:r w:rsidRPr="00D97E0B">
              <w:rPr>
                <w:rFonts w:ascii="Arial" w:hAnsi="Arial" w:cs="Arial"/>
                <w:sz w:val="14"/>
                <w:szCs w:val="14"/>
                <w:lang w:val="de-DE"/>
              </w:rPr>
              <w:t xml:space="preserve">: </w:t>
            </w:r>
            <w:r w:rsidR="003F72C5" w:rsidRPr="00D97E0B">
              <w:rPr>
                <w:rFonts w:ascii="Arial" w:hAnsi="Arial" w:cs="Arial"/>
                <w:color w:val="auto"/>
                <w:sz w:val="14"/>
                <w:szCs w:val="14"/>
              </w:rPr>
              <w:t>GAATGATCAGCTGGCAGATGCAAATGAAAATCTGGAAAAACTGGTCAGCTTTGATGATCTG</w:t>
            </w:r>
          </w:p>
          <w:p w:rsidR="00D92ACD" w:rsidRPr="00D97E0B" w:rsidRDefault="00D92ACD" w:rsidP="009A6BF7">
            <w:pPr>
              <w:jc w:val="both"/>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de-DE"/>
              </w:rPr>
            </w:pPr>
            <w:proofErr w:type="spellStart"/>
            <w:r w:rsidRPr="00D97E0B">
              <w:rPr>
                <w:rFonts w:ascii="Arial" w:hAnsi="Arial" w:cs="Arial"/>
                <w:sz w:val="14"/>
                <w:szCs w:val="14"/>
                <w:lang w:val="de-DE"/>
              </w:rPr>
              <w:t>rv</w:t>
            </w:r>
            <w:proofErr w:type="spellEnd"/>
            <w:r w:rsidRPr="00D97E0B">
              <w:rPr>
                <w:rFonts w:ascii="Arial" w:hAnsi="Arial" w:cs="Arial"/>
                <w:sz w:val="14"/>
                <w:szCs w:val="14"/>
                <w:lang w:val="de-DE"/>
              </w:rPr>
              <w:t>:</w:t>
            </w:r>
            <w:r w:rsidR="009A6BF7" w:rsidRPr="00D97E0B">
              <w:rPr>
                <w:rFonts w:ascii="Arial" w:hAnsi="Arial" w:cs="Arial"/>
                <w:sz w:val="14"/>
                <w:szCs w:val="14"/>
                <w:lang w:eastAsia="de-DE"/>
              </w:rPr>
              <w:t xml:space="preserve"> </w:t>
            </w:r>
            <w:r w:rsidR="003F72C5" w:rsidRPr="00D97E0B">
              <w:rPr>
                <w:rFonts w:ascii="Arial" w:hAnsi="Arial" w:cs="Arial"/>
                <w:color w:val="auto"/>
                <w:sz w:val="14"/>
                <w:szCs w:val="14"/>
              </w:rPr>
              <w:t>CATCTGCCAGCTGATCATTCAGCAGATTCAGCTGCATGACATCTGCCACAATC</w:t>
            </w:r>
          </w:p>
        </w:tc>
      </w:tr>
      <w:tr w:rsidR="00D92ACD" w:rsidRPr="00D97E0B" w:rsidTr="006A010E">
        <w:trPr>
          <w:trHeight w:val="276"/>
          <w:jc w:val="center"/>
        </w:trPr>
        <w:tc>
          <w:tcPr>
            <w:cnfStyle w:val="001000000000" w:firstRow="0" w:lastRow="0" w:firstColumn="1" w:lastColumn="0" w:oddVBand="0" w:evenVBand="0" w:oddHBand="0" w:evenHBand="0" w:firstRowFirstColumn="0" w:firstRowLastColumn="0" w:lastRowFirstColumn="0" w:lastRowLastColumn="0"/>
            <w:tcW w:w="1697" w:type="dxa"/>
            <w:shd w:val="clear" w:color="auto" w:fill="auto"/>
            <w:vAlign w:val="center"/>
          </w:tcPr>
          <w:p w:rsidR="00D92ACD" w:rsidRPr="00D97E0B" w:rsidRDefault="00D92ACD" w:rsidP="00D96FF7">
            <w:pPr>
              <w:jc w:val="center"/>
              <w:rPr>
                <w:rFonts w:ascii="Arial" w:hAnsi="Arial" w:cs="Arial"/>
                <w:b w:val="0"/>
                <w:sz w:val="14"/>
                <w:szCs w:val="14"/>
                <w:lang w:val="de-DE"/>
              </w:rPr>
            </w:pPr>
            <w:r w:rsidRPr="00D97E0B">
              <w:rPr>
                <w:rFonts w:ascii="Arial" w:hAnsi="Arial" w:cs="Arial"/>
                <w:b w:val="0"/>
                <w:i/>
                <w:sz w:val="14"/>
                <w:szCs w:val="14"/>
                <w:lang w:val="de-DE"/>
              </w:rPr>
              <w:t>Is</w:t>
            </w:r>
            <w:r w:rsidRPr="00D97E0B">
              <w:rPr>
                <w:rFonts w:ascii="Arial" w:hAnsi="Arial" w:cs="Arial"/>
                <w:b w:val="0"/>
                <w:sz w:val="14"/>
                <w:szCs w:val="14"/>
                <w:lang w:val="de-DE"/>
              </w:rPr>
              <w:t xml:space="preserve">PadC </w:t>
            </w:r>
          </w:p>
          <w:p w:rsidR="00D92ACD" w:rsidRPr="00D97E0B" w:rsidRDefault="00D92ACD" w:rsidP="00D96FF7">
            <w:pPr>
              <w:jc w:val="center"/>
              <w:rPr>
                <w:rFonts w:ascii="Arial" w:hAnsi="Arial" w:cs="Arial"/>
                <w:b w:val="0"/>
                <w:sz w:val="14"/>
                <w:szCs w:val="14"/>
                <w:vertAlign w:val="superscript"/>
                <w:lang w:val="de-DE"/>
              </w:rPr>
            </w:pPr>
            <w:r w:rsidRPr="00D97E0B">
              <w:rPr>
                <w:rFonts w:ascii="Arial" w:hAnsi="Arial" w:cs="Arial"/>
                <w:b w:val="0"/>
                <w:sz w:val="14"/>
                <w:szCs w:val="14"/>
                <w:vertAlign w:val="superscript"/>
                <w:lang w:val="de-DE"/>
              </w:rPr>
              <w:t>Reg2.a</w:t>
            </w:r>
          </w:p>
        </w:tc>
        <w:tc>
          <w:tcPr>
            <w:tcW w:w="7968" w:type="dxa"/>
            <w:shd w:val="clear" w:color="auto" w:fill="auto"/>
            <w:vAlign w:val="center"/>
          </w:tcPr>
          <w:p w:rsidR="00D92ACD" w:rsidRPr="00D97E0B" w:rsidRDefault="00D92ACD" w:rsidP="00D96FF7">
            <w:pPr>
              <w:jc w:val="both"/>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de-DE"/>
              </w:rPr>
            </w:pPr>
            <w:proofErr w:type="spellStart"/>
            <w:r w:rsidRPr="00D97E0B">
              <w:rPr>
                <w:rFonts w:ascii="Arial" w:hAnsi="Arial" w:cs="Arial"/>
                <w:sz w:val="14"/>
                <w:szCs w:val="14"/>
                <w:lang w:val="de-DE"/>
              </w:rPr>
              <w:t>fw</w:t>
            </w:r>
            <w:proofErr w:type="spellEnd"/>
            <w:r w:rsidRPr="00D97E0B">
              <w:rPr>
                <w:rFonts w:ascii="Arial" w:hAnsi="Arial" w:cs="Arial"/>
                <w:sz w:val="14"/>
                <w:szCs w:val="14"/>
                <w:lang w:val="de-DE"/>
              </w:rPr>
              <w:t xml:space="preserve">: </w:t>
            </w:r>
            <w:r w:rsidR="00A467CE" w:rsidRPr="00D97E0B">
              <w:rPr>
                <w:rFonts w:ascii="Arial" w:hAnsi="Arial" w:cs="Arial"/>
                <w:sz w:val="14"/>
                <w:szCs w:val="14"/>
                <w:lang w:val="de-DE"/>
              </w:rPr>
              <w:t>ATCAGCTGGCAGATGCAGTTGAAAATCTGGAAAAACTGGTCAGC</w:t>
            </w:r>
          </w:p>
          <w:p w:rsidR="00D92ACD" w:rsidRPr="00D97E0B" w:rsidRDefault="00D92ACD" w:rsidP="009A6BF7">
            <w:pPr>
              <w:jc w:val="both"/>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de-DE"/>
              </w:rPr>
            </w:pPr>
            <w:proofErr w:type="spellStart"/>
            <w:r w:rsidRPr="00D97E0B">
              <w:rPr>
                <w:rFonts w:ascii="Arial" w:hAnsi="Arial" w:cs="Arial"/>
                <w:sz w:val="14"/>
                <w:szCs w:val="14"/>
                <w:lang w:val="de-DE"/>
              </w:rPr>
              <w:t>rv</w:t>
            </w:r>
            <w:proofErr w:type="spellEnd"/>
            <w:r w:rsidRPr="00D97E0B">
              <w:rPr>
                <w:rFonts w:ascii="Arial" w:hAnsi="Arial" w:cs="Arial"/>
                <w:sz w:val="14"/>
                <w:szCs w:val="14"/>
                <w:lang w:val="de-DE"/>
              </w:rPr>
              <w:t>:</w:t>
            </w:r>
            <w:r w:rsidR="009A6BF7" w:rsidRPr="00D97E0B">
              <w:rPr>
                <w:rFonts w:ascii="Arial" w:hAnsi="Arial" w:cs="Arial"/>
                <w:sz w:val="14"/>
                <w:szCs w:val="14"/>
                <w:lang w:eastAsia="de-DE"/>
              </w:rPr>
              <w:t xml:space="preserve"> </w:t>
            </w:r>
            <w:r w:rsidR="00A467CE" w:rsidRPr="00D97E0B">
              <w:rPr>
                <w:rFonts w:ascii="Arial" w:hAnsi="Arial" w:cs="Arial"/>
                <w:sz w:val="14"/>
                <w:szCs w:val="14"/>
                <w:lang w:eastAsia="de-DE"/>
              </w:rPr>
              <w:t>GCATCTGCCAGCTGATCAACCAGCAGATTCAGCTGCATG</w:t>
            </w:r>
          </w:p>
        </w:tc>
      </w:tr>
      <w:tr w:rsidR="00D92ACD" w:rsidRPr="00D97E0B" w:rsidTr="006A010E">
        <w:trPr>
          <w:cnfStyle w:val="000000100000" w:firstRow="0" w:lastRow="0" w:firstColumn="0" w:lastColumn="0" w:oddVBand="0" w:evenVBand="0" w:oddHBand="1" w:evenHBand="0" w:firstRowFirstColumn="0" w:firstRowLastColumn="0" w:lastRowFirstColumn="0" w:lastRowLastColumn="0"/>
          <w:trHeight w:val="276"/>
          <w:jc w:val="center"/>
        </w:trPr>
        <w:tc>
          <w:tcPr>
            <w:cnfStyle w:val="001000000000" w:firstRow="0" w:lastRow="0" w:firstColumn="1" w:lastColumn="0" w:oddVBand="0" w:evenVBand="0" w:oddHBand="0" w:evenHBand="0" w:firstRowFirstColumn="0" w:firstRowLastColumn="0" w:lastRowFirstColumn="0" w:lastRowLastColumn="0"/>
            <w:tcW w:w="9665" w:type="dxa"/>
            <w:gridSpan w:val="2"/>
            <w:tcBorders>
              <w:top w:val="single" w:sz="4" w:space="0" w:color="auto"/>
              <w:bottom w:val="single" w:sz="4" w:space="0" w:color="auto"/>
            </w:tcBorders>
            <w:shd w:val="clear" w:color="auto" w:fill="BFBFBF"/>
            <w:vAlign w:val="center"/>
          </w:tcPr>
          <w:p w:rsidR="00D92ACD" w:rsidRPr="00D97E0B" w:rsidRDefault="00D92ACD" w:rsidP="00D96FF7">
            <w:pPr>
              <w:jc w:val="both"/>
              <w:rPr>
                <w:rFonts w:ascii="Arial" w:hAnsi="Arial" w:cs="Arial"/>
                <w:b w:val="0"/>
                <w:sz w:val="14"/>
                <w:szCs w:val="14"/>
                <w:lang w:val="de-DE"/>
              </w:rPr>
            </w:pPr>
            <w:r w:rsidRPr="00D97E0B">
              <w:rPr>
                <w:rFonts w:ascii="Arial" w:hAnsi="Arial" w:cs="Arial"/>
                <w:b w:val="0"/>
                <w:sz w:val="14"/>
                <w:szCs w:val="14"/>
                <w:lang w:val="de-DE"/>
              </w:rPr>
              <w:t>Panel</w:t>
            </w:r>
            <w:r w:rsidR="0017438E">
              <w:rPr>
                <w:rFonts w:ascii="Arial" w:hAnsi="Arial" w:cs="Arial"/>
                <w:sz w:val="14"/>
                <w:szCs w:val="14"/>
                <w:lang w:val="de-DE"/>
              </w:rPr>
              <w:t xml:space="preserve"> b</w:t>
            </w:r>
            <w:r w:rsidRPr="00D97E0B">
              <w:rPr>
                <w:rFonts w:ascii="Arial" w:hAnsi="Arial" w:cs="Arial"/>
                <w:sz w:val="14"/>
                <w:szCs w:val="14"/>
                <w:lang w:val="de-DE"/>
              </w:rPr>
              <w:t xml:space="preserve"> </w:t>
            </w:r>
            <w:r w:rsidRPr="00D97E0B">
              <w:rPr>
                <w:rFonts w:ascii="Arial" w:hAnsi="Arial" w:cs="Arial"/>
                <w:b w:val="0"/>
                <w:sz w:val="14"/>
                <w:szCs w:val="14"/>
                <w:lang w:val="de-DE"/>
              </w:rPr>
              <w:t xml:space="preserve">– </w:t>
            </w:r>
            <w:proofErr w:type="spellStart"/>
            <w:r w:rsidRPr="00D97E0B">
              <w:rPr>
                <w:rFonts w:ascii="Arial" w:hAnsi="Arial" w:cs="Arial"/>
                <w:b w:val="0"/>
                <w:sz w:val="14"/>
                <w:szCs w:val="14"/>
                <w:lang w:val="de-DE"/>
              </w:rPr>
              <w:t>buffer</w:t>
            </w:r>
            <w:proofErr w:type="spellEnd"/>
            <w:r w:rsidRPr="00D97E0B">
              <w:rPr>
                <w:rFonts w:ascii="Arial" w:hAnsi="Arial" w:cs="Arial"/>
                <w:b w:val="0"/>
                <w:sz w:val="14"/>
                <w:szCs w:val="14"/>
                <w:lang w:val="de-DE"/>
              </w:rPr>
              <w:t xml:space="preserve"> </w:t>
            </w:r>
            <w:proofErr w:type="spellStart"/>
            <w:r w:rsidRPr="00D97E0B">
              <w:rPr>
                <w:rFonts w:ascii="Arial" w:hAnsi="Arial" w:cs="Arial"/>
                <w:b w:val="0"/>
                <w:sz w:val="14"/>
                <w:szCs w:val="14"/>
                <w:lang w:val="de-DE"/>
              </w:rPr>
              <w:t>systems</w:t>
            </w:r>
            <w:proofErr w:type="spellEnd"/>
          </w:p>
        </w:tc>
      </w:tr>
      <w:tr w:rsidR="002614E4" w:rsidRPr="00D97E0B" w:rsidTr="006A010E">
        <w:trPr>
          <w:trHeight w:val="276"/>
          <w:jc w:val="center"/>
        </w:trPr>
        <w:tc>
          <w:tcPr>
            <w:cnfStyle w:val="001000000000" w:firstRow="0" w:lastRow="0" w:firstColumn="1" w:lastColumn="0" w:oddVBand="0" w:evenVBand="0" w:oddHBand="0" w:evenHBand="0" w:firstRowFirstColumn="0" w:firstRowLastColumn="0" w:lastRowFirstColumn="0" w:lastRowLastColumn="0"/>
            <w:tcW w:w="1697" w:type="dxa"/>
            <w:tcBorders>
              <w:top w:val="single" w:sz="4" w:space="0" w:color="auto"/>
            </w:tcBorders>
            <w:shd w:val="clear" w:color="auto" w:fill="FFFFFF"/>
            <w:vAlign w:val="center"/>
          </w:tcPr>
          <w:p w:rsidR="002614E4" w:rsidRPr="00D97E0B" w:rsidRDefault="002614E4" w:rsidP="00AC10F5">
            <w:pPr>
              <w:jc w:val="center"/>
              <w:rPr>
                <w:rFonts w:ascii="Arial" w:hAnsi="Arial" w:cs="Arial"/>
                <w:bCs w:val="0"/>
                <w:sz w:val="14"/>
                <w:szCs w:val="14"/>
                <w:lang w:val="de-DE"/>
              </w:rPr>
            </w:pPr>
            <w:r w:rsidRPr="00D97E0B">
              <w:rPr>
                <w:rFonts w:ascii="Arial" w:hAnsi="Arial" w:cs="Arial"/>
                <w:sz w:val="14"/>
                <w:szCs w:val="14"/>
                <w:lang w:val="en-US"/>
              </w:rPr>
              <w:t>Use</w:t>
            </w:r>
          </w:p>
        </w:tc>
        <w:tc>
          <w:tcPr>
            <w:tcW w:w="7968" w:type="dxa"/>
            <w:tcBorders>
              <w:top w:val="single" w:sz="4" w:space="0" w:color="auto"/>
            </w:tcBorders>
            <w:shd w:val="clear" w:color="auto" w:fill="FFFFFF"/>
            <w:vAlign w:val="center"/>
          </w:tcPr>
          <w:p w:rsidR="002614E4" w:rsidRPr="00D97E0B" w:rsidRDefault="002614E4" w:rsidP="00D96FF7">
            <w:pPr>
              <w:jc w:val="both"/>
              <w:cnfStyle w:val="000000000000" w:firstRow="0" w:lastRow="0" w:firstColumn="0" w:lastColumn="0" w:oddVBand="0" w:evenVBand="0" w:oddHBand="0" w:evenHBand="0" w:firstRowFirstColumn="0" w:firstRowLastColumn="0" w:lastRowFirstColumn="0" w:lastRowLastColumn="0"/>
              <w:rPr>
                <w:rFonts w:ascii="Arial" w:hAnsi="Arial" w:cs="Arial"/>
                <w:b/>
                <w:sz w:val="14"/>
                <w:szCs w:val="14"/>
                <w:lang w:val="de-DE"/>
              </w:rPr>
            </w:pPr>
            <w:proofErr w:type="spellStart"/>
            <w:r w:rsidRPr="00D97E0B">
              <w:rPr>
                <w:rFonts w:ascii="Arial" w:hAnsi="Arial" w:cs="Arial"/>
                <w:b/>
                <w:sz w:val="14"/>
                <w:szCs w:val="14"/>
                <w:lang w:val="de-DE"/>
              </w:rPr>
              <w:t>Buffer</w:t>
            </w:r>
            <w:proofErr w:type="spellEnd"/>
            <w:r w:rsidRPr="00D97E0B">
              <w:rPr>
                <w:rFonts w:ascii="Arial" w:hAnsi="Arial" w:cs="Arial"/>
                <w:b/>
                <w:sz w:val="14"/>
                <w:szCs w:val="14"/>
                <w:lang w:val="de-DE"/>
              </w:rPr>
              <w:t xml:space="preserve"> </w:t>
            </w:r>
            <w:proofErr w:type="spellStart"/>
            <w:r w:rsidRPr="00D97E0B">
              <w:rPr>
                <w:rFonts w:ascii="Arial" w:hAnsi="Arial" w:cs="Arial"/>
                <w:b/>
                <w:sz w:val="14"/>
                <w:szCs w:val="14"/>
                <w:lang w:val="de-DE"/>
              </w:rPr>
              <w:t>composition</w:t>
            </w:r>
            <w:proofErr w:type="spellEnd"/>
          </w:p>
        </w:tc>
      </w:tr>
      <w:tr w:rsidR="002614E4" w:rsidRPr="00493C92" w:rsidTr="006A010E">
        <w:trPr>
          <w:cnfStyle w:val="000000100000" w:firstRow="0" w:lastRow="0" w:firstColumn="0" w:lastColumn="0" w:oddVBand="0" w:evenVBand="0" w:oddHBand="1" w:evenHBand="0" w:firstRowFirstColumn="0" w:firstRowLastColumn="0" w:lastRowFirstColumn="0" w:lastRowLastColumn="0"/>
          <w:trHeight w:val="43"/>
          <w:jc w:val="center"/>
        </w:trPr>
        <w:tc>
          <w:tcPr>
            <w:cnfStyle w:val="001000000000" w:firstRow="0" w:lastRow="0" w:firstColumn="1" w:lastColumn="0" w:oddVBand="0" w:evenVBand="0" w:oddHBand="0" w:evenHBand="0" w:firstRowFirstColumn="0" w:firstRowLastColumn="0" w:lastRowFirstColumn="0" w:lastRowLastColumn="0"/>
            <w:tcW w:w="1697" w:type="dxa"/>
            <w:shd w:val="clear" w:color="auto" w:fill="auto"/>
            <w:vAlign w:val="center"/>
          </w:tcPr>
          <w:p w:rsidR="002614E4" w:rsidRPr="00D97E0B" w:rsidRDefault="002614E4" w:rsidP="00D96FF7">
            <w:pPr>
              <w:jc w:val="both"/>
              <w:rPr>
                <w:rFonts w:ascii="Arial" w:hAnsi="Arial" w:cs="Arial"/>
                <w:bCs w:val="0"/>
                <w:sz w:val="14"/>
                <w:szCs w:val="14"/>
                <w:lang w:val="de-DE"/>
              </w:rPr>
            </w:pPr>
            <w:r w:rsidRPr="00D97E0B">
              <w:rPr>
                <w:rFonts w:ascii="Arial" w:hAnsi="Arial" w:cs="Arial"/>
                <w:b w:val="0"/>
                <w:sz w:val="14"/>
                <w:szCs w:val="14"/>
                <w:lang w:val="en-US"/>
              </w:rPr>
              <w:t>Storage buffer</w:t>
            </w:r>
          </w:p>
        </w:tc>
        <w:tc>
          <w:tcPr>
            <w:tcW w:w="7968" w:type="dxa"/>
            <w:shd w:val="clear" w:color="auto" w:fill="auto"/>
            <w:vAlign w:val="center"/>
          </w:tcPr>
          <w:p w:rsidR="002614E4" w:rsidRPr="00EC533F" w:rsidRDefault="002614E4" w:rsidP="00D96FF7">
            <w:pPr>
              <w:jc w:val="both"/>
              <w:cnfStyle w:val="000000100000" w:firstRow="0" w:lastRow="0" w:firstColumn="0" w:lastColumn="0" w:oddVBand="0" w:evenVBand="0" w:oddHBand="1" w:evenHBand="0" w:firstRowFirstColumn="0" w:firstRowLastColumn="0" w:lastRowFirstColumn="0" w:lastRowLastColumn="0"/>
              <w:rPr>
                <w:rFonts w:ascii="Arial" w:hAnsi="Arial" w:cs="Arial"/>
                <w:sz w:val="14"/>
                <w:szCs w:val="14"/>
                <w:vertAlign w:val="subscript"/>
                <w:lang w:val="de-DE"/>
              </w:rPr>
            </w:pPr>
            <w:r w:rsidRPr="00D97E0B">
              <w:rPr>
                <w:rFonts w:ascii="Arial" w:hAnsi="Arial" w:cs="Arial"/>
                <w:sz w:val="14"/>
                <w:szCs w:val="14"/>
                <w:lang w:val="de-DE"/>
              </w:rPr>
              <w:t>10 mM HEPES pH 7, 0.5 M NaCl, 2 mM MgCl</w:t>
            </w:r>
            <w:r w:rsidRPr="00D97E0B">
              <w:rPr>
                <w:rFonts w:ascii="Arial" w:hAnsi="Arial" w:cs="Arial"/>
                <w:sz w:val="14"/>
                <w:szCs w:val="14"/>
                <w:vertAlign w:val="subscript"/>
                <w:lang w:val="de-DE"/>
              </w:rPr>
              <w:t>2</w:t>
            </w:r>
          </w:p>
        </w:tc>
      </w:tr>
      <w:tr w:rsidR="00A16FC9" w:rsidRPr="00493C92" w:rsidTr="006A010E">
        <w:trPr>
          <w:trHeight w:val="43"/>
          <w:jc w:val="center"/>
        </w:trPr>
        <w:tc>
          <w:tcPr>
            <w:cnfStyle w:val="001000000000" w:firstRow="0" w:lastRow="0" w:firstColumn="1" w:lastColumn="0" w:oddVBand="0" w:evenVBand="0" w:oddHBand="0" w:evenHBand="0" w:firstRowFirstColumn="0" w:firstRowLastColumn="0" w:lastRowFirstColumn="0" w:lastRowLastColumn="0"/>
            <w:tcW w:w="1697" w:type="dxa"/>
            <w:shd w:val="clear" w:color="auto" w:fill="auto"/>
            <w:vAlign w:val="center"/>
          </w:tcPr>
          <w:p w:rsidR="00A16FC9" w:rsidRPr="00D97E0B" w:rsidRDefault="00A16FC9" w:rsidP="00D96FF7">
            <w:pPr>
              <w:jc w:val="both"/>
              <w:rPr>
                <w:rFonts w:ascii="Arial" w:hAnsi="Arial" w:cs="Arial"/>
                <w:sz w:val="14"/>
                <w:szCs w:val="14"/>
              </w:rPr>
            </w:pPr>
          </w:p>
        </w:tc>
        <w:tc>
          <w:tcPr>
            <w:tcW w:w="7968" w:type="dxa"/>
            <w:shd w:val="clear" w:color="auto" w:fill="auto"/>
            <w:vAlign w:val="center"/>
          </w:tcPr>
          <w:p w:rsidR="00A16FC9" w:rsidRPr="00D97E0B" w:rsidRDefault="00A16FC9" w:rsidP="00D96FF7">
            <w:pPr>
              <w:jc w:val="both"/>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de-DE"/>
              </w:rPr>
            </w:pPr>
          </w:p>
        </w:tc>
      </w:tr>
      <w:tr w:rsidR="00A16FC9" w:rsidRPr="00493C92" w:rsidTr="006A010E">
        <w:trPr>
          <w:cnfStyle w:val="000000100000" w:firstRow="0" w:lastRow="0" w:firstColumn="0" w:lastColumn="0" w:oddVBand="0" w:evenVBand="0" w:oddHBand="1" w:evenHBand="0" w:firstRowFirstColumn="0" w:firstRowLastColumn="0" w:lastRowFirstColumn="0" w:lastRowLastColumn="0"/>
          <w:trHeight w:val="43"/>
          <w:jc w:val="center"/>
        </w:trPr>
        <w:tc>
          <w:tcPr>
            <w:cnfStyle w:val="001000000000" w:firstRow="0" w:lastRow="0" w:firstColumn="1" w:lastColumn="0" w:oddVBand="0" w:evenVBand="0" w:oddHBand="0" w:evenHBand="0" w:firstRowFirstColumn="0" w:firstRowLastColumn="0" w:lastRowFirstColumn="0" w:lastRowLastColumn="0"/>
            <w:tcW w:w="1697" w:type="dxa"/>
            <w:shd w:val="clear" w:color="auto" w:fill="auto"/>
            <w:vAlign w:val="center"/>
          </w:tcPr>
          <w:p w:rsidR="00A16FC9" w:rsidRPr="00D97E0B" w:rsidRDefault="00A16FC9" w:rsidP="00D97E0B">
            <w:pPr>
              <w:rPr>
                <w:rFonts w:ascii="Arial" w:hAnsi="Arial" w:cs="Arial"/>
                <w:b w:val="0"/>
                <w:sz w:val="14"/>
                <w:szCs w:val="14"/>
              </w:rPr>
            </w:pPr>
            <w:r w:rsidRPr="00D97E0B">
              <w:rPr>
                <w:rFonts w:ascii="Arial" w:hAnsi="Arial" w:cs="Arial"/>
                <w:b w:val="0"/>
                <w:sz w:val="14"/>
                <w:szCs w:val="14"/>
              </w:rPr>
              <w:t xml:space="preserve">Storage </w:t>
            </w:r>
            <w:proofErr w:type="spellStart"/>
            <w:r w:rsidRPr="00D97E0B">
              <w:rPr>
                <w:rFonts w:ascii="Arial" w:hAnsi="Arial" w:cs="Arial"/>
                <w:b w:val="0"/>
                <w:sz w:val="14"/>
                <w:szCs w:val="14"/>
              </w:rPr>
              <w:t>buffer</w:t>
            </w:r>
            <w:proofErr w:type="spellEnd"/>
            <w:r w:rsidRPr="00D97E0B">
              <w:rPr>
                <w:rFonts w:ascii="Arial" w:hAnsi="Arial" w:cs="Arial"/>
                <w:b w:val="0"/>
                <w:sz w:val="14"/>
                <w:szCs w:val="14"/>
              </w:rPr>
              <w:t xml:space="preserve"> </w:t>
            </w:r>
            <w:proofErr w:type="spellStart"/>
            <w:r w:rsidRPr="00D97E0B">
              <w:rPr>
                <w:rFonts w:ascii="Arial" w:hAnsi="Arial" w:cs="Arial"/>
                <w:b w:val="0"/>
                <w:sz w:val="14"/>
                <w:szCs w:val="14"/>
              </w:rPr>
              <w:t>for</w:t>
            </w:r>
            <w:proofErr w:type="spellEnd"/>
            <w:r w:rsidRPr="00D97E0B">
              <w:rPr>
                <w:rFonts w:ascii="Arial" w:hAnsi="Arial" w:cs="Arial"/>
                <w:b w:val="0"/>
                <w:sz w:val="14"/>
                <w:szCs w:val="14"/>
              </w:rPr>
              <w:t xml:space="preserve"> </w:t>
            </w:r>
            <w:proofErr w:type="spellStart"/>
            <w:r w:rsidRPr="00D97E0B">
              <w:rPr>
                <w:rFonts w:ascii="Arial" w:hAnsi="Arial" w:cs="Arial"/>
                <w:b w:val="0"/>
                <w:sz w:val="14"/>
                <w:szCs w:val="14"/>
              </w:rPr>
              <w:t>crystallization</w:t>
            </w:r>
            <w:proofErr w:type="spellEnd"/>
          </w:p>
        </w:tc>
        <w:tc>
          <w:tcPr>
            <w:tcW w:w="7968" w:type="dxa"/>
            <w:shd w:val="clear" w:color="auto" w:fill="auto"/>
            <w:vAlign w:val="center"/>
          </w:tcPr>
          <w:p w:rsidR="00A16FC9" w:rsidRPr="00D97E0B" w:rsidRDefault="00A16FC9" w:rsidP="00A16FC9">
            <w:pPr>
              <w:jc w:val="both"/>
              <w:cnfStyle w:val="000000100000" w:firstRow="0" w:lastRow="0" w:firstColumn="0" w:lastColumn="0" w:oddVBand="0" w:evenVBand="0" w:oddHBand="1" w:evenHBand="0" w:firstRowFirstColumn="0" w:firstRowLastColumn="0" w:lastRowFirstColumn="0" w:lastRowLastColumn="0"/>
              <w:rPr>
                <w:rFonts w:ascii="Arial" w:hAnsi="Arial" w:cs="Arial"/>
                <w:sz w:val="14"/>
                <w:szCs w:val="14"/>
                <w:vertAlign w:val="subscript"/>
                <w:lang w:val="de-DE"/>
              </w:rPr>
            </w:pPr>
            <w:r w:rsidRPr="00D97E0B">
              <w:rPr>
                <w:rFonts w:ascii="Arial" w:hAnsi="Arial" w:cs="Arial"/>
                <w:sz w:val="14"/>
                <w:szCs w:val="14"/>
                <w:lang w:val="de-DE"/>
              </w:rPr>
              <w:t>10 mM HEPES pH 7, 150 mM NaCl, 2 mM MgCl</w:t>
            </w:r>
            <w:r w:rsidRPr="00D97E0B">
              <w:rPr>
                <w:rFonts w:ascii="Arial" w:hAnsi="Arial" w:cs="Arial"/>
                <w:sz w:val="14"/>
                <w:szCs w:val="14"/>
                <w:vertAlign w:val="subscript"/>
                <w:lang w:val="de-DE"/>
              </w:rPr>
              <w:t>2</w:t>
            </w:r>
          </w:p>
          <w:p w:rsidR="00A16FC9" w:rsidRPr="00D97E0B" w:rsidRDefault="00A16FC9" w:rsidP="00D96FF7">
            <w:pPr>
              <w:jc w:val="both"/>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de-DE"/>
              </w:rPr>
            </w:pPr>
          </w:p>
        </w:tc>
      </w:tr>
      <w:tr w:rsidR="00A16FC9" w:rsidRPr="00493C92" w:rsidTr="006A010E">
        <w:trPr>
          <w:trHeight w:val="43"/>
          <w:jc w:val="center"/>
        </w:trPr>
        <w:tc>
          <w:tcPr>
            <w:cnfStyle w:val="001000000000" w:firstRow="0" w:lastRow="0" w:firstColumn="1" w:lastColumn="0" w:oddVBand="0" w:evenVBand="0" w:oddHBand="0" w:evenHBand="0" w:firstRowFirstColumn="0" w:firstRowLastColumn="0" w:lastRowFirstColumn="0" w:lastRowLastColumn="0"/>
            <w:tcW w:w="1697" w:type="dxa"/>
            <w:shd w:val="clear" w:color="auto" w:fill="auto"/>
            <w:vAlign w:val="center"/>
          </w:tcPr>
          <w:p w:rsidR="00A16FC9" w:rsidRPr="00D97E0B" w:rsidRDefault="00A16FC9" w:rsidP="00D96FF7">
            <w:pPr>
              <w:jc w:val="both"/>
              <w:rPr>
                <w:rFonts w:ascii="Arial" w:hAnsi="Arial" w:cs="Arial"/>
                <w:sz w:val="14"/>
                <w:szCs w:val="14"/>
              </w:rPr>
            </w:pPr>
          </w:p>
        </w:tc>
        <w:tc>
          <w:tcPr>
            <w:tcW w:w="7968" w:type="dxa"/>
            <w:shd w:val="clear" w:color="auto" w:fill="auto"/>
            <w:vAlign w:val="center"/>
          </w:tcPr>
          <w:p w:rsidR="00A16FC9" w:rsidRPr="00D97E0B" w:rsidRDefault="00A16FC9" w:rsidP="00D96FF7">
            <w:pPr>
              <w:jc w:val="both"/>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de-DE"/>
              </w:rPr>
            </w:pPr>
          </w:p>
        </w:tc>
      </w:tr>
      <w:tr w:rsidR="002614E4" w:rsidRPr="00BB3240" w:rsidTr="00EC533F">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697" w:type="dxa"/>
            <w:shd w:val="clear" w:color="auto" w:fill="auto"/>
          </w:tcPr>
          <w:p w:rsidR="002614E4" w:rsidRPr="00D97E0B" w:rsidRDefault="002614E4" w:rsidP="00EC533F">
            <w:pPr>
              <w:rPr>
                <w:rFonts w:ascii="Arial" w:hAnsi="Arial" w:cs="Arial"/>
                <w:bCs w:val="0"/>
                <w:sz w:val="14"/>
                <w:szCs w:val="14"/>
                <w:lang w:val="de-DE"/>
              </w:rPr>
            </w:pPr>
            <w:r w:rsidRPr="00D97E0B">
              <w:rPr>
                <w:rFonts w:ascii="Arial" w:hAnsi="Arial" w:cs="Arial"/>
                <w:b w:val="0"/>
                <w:sz w:val="14"/>
                <w:szCs w:val="14"/>
                <w:lang w:val="de-DE"/>
              </w:rPr>
              <w:t xml:space="preserve">Lysis </w:t>
            </w:r>
            <w:proofErr w:type="spellStart"/>
            <w:r w:rsidRPr="00D97E0B">
              <w:rPr>
                <w:rFonts w:ascii="Arial" w:hAnsi="Arial" w:cs="Arial"/>
                <w:b w:val="0"/>
                <w:sz w:val="14"/>
                <w:szCs w:val="14"/>
                <w:lang w:val="de-DE"/>
              </w:rPr>
              <w:t>buffer</w:t>
            </w:r>
            <w:proofErr w:type="spellEnd"/>
          </w:p>
        </w:tc>
        <w:tc>
          <w:tcPr>
            <w:tcW w:w="7968" w:type="dxa"/>
            <w:shd w:val="clear" w:color="auto" w:fill="auto"/>
            <w:vAlign w:val="center"/>
          </w:tcPr>
          <w:p w:rsidR="002614E4" w:rsidRDefault="002614E4" w:rsidP="00D96FF7">
            <w:pPr>
              <w:jc w:val="both"/>
              <w:cnfStyle w:val="000000100000" w:firstRow="0" w:lastRow="0" w:firstColumn="0" w:lastColumn="0" w:oddVBand="0" w:evenVBand="0" w:oddHBand="1" w:evenHBand="0" w:firstRowFirstColumn="0" w:firstRowLastColumn="0" w:lastRowFirstColumn="0" w:lastRowLastColumn="0"/>
              <w:rPr>
                <w:rFonts w:ascii="Arial" w:hAnsi="Arial" w:cs="Arial"/>
                <w:sz w:val="14"/>
                <w:szCs w:val="14"/>
                <w:lang w:val="de-DE"/>
              </w:rPr>
            </w:pPr>
            <w:r w:rsidRPr="00D97E0B">
              <w:rPr>
                <w:rFonts w:ascii="Arial" w:hAnsi="Arial" w:cs="Arial"/>
                <w:sz w:val="14"/>
                <w:szCs w:val="14"/>
                <w:lang w:val="de-DE"/>
              </w:rPr>
              <w:t>50 mM HEPES pH 7, 0.5 M NaCl, 2 mM MgCl</w:t>
            </w:r>
            <w:r w:rsidRPr="00D97E0B">
              <w:rPr>
                <w:rFonts w:ascii="Arial" w:hAnsi="Arial" w:cs="Arial"/>
                <w:sz w:val="14"/>
                <w:szCs w:val="14"/>
                <w:vertAlign w:val="subscript"/>
                <w:lang w:val="de-DE"/>
              </w:rPr>
              <w:t>2</w:t>
            </w:r>
            <w:r w:rsidRPr="00D97E0B">
              <w:rPr>
                <w:rFonts w:ascii="Arial" w:hAnsi="Arial" w:cs="Arial"/>
                <w:sz w:val="14"/>
                <w:szCs w:val="14"/>
                <w:lang w:val="de-DE"/>
              </w:rPr>
              <w:t xml:space="preserve">, 10 mM </w:t>
            </w:r>
            <w:proofErr w:type="spellStart"/>
            <w:r w:rsidRPr="00D97E0B">
              <w:rPr>
                <w:rFonts w:ascii="Arial" w:hAnsi="Arial" w:cs="Arial"/>
                <w:sz w:val="14"/>
                <w:szCs w:val="14"/>
                <w:lang w:val="de-DE"/>
              </w:rPr>
              <w:t>imidazole</w:t>
            </w:r>
            <w:proofErr w:type="spellEnd"/>
            <w:r w:rsidRPr="00D97E0B">
              <w:rPr>
                <w:rFonts w:ascii="Arial" w:hAnsi="Arial" w:cs="Arial"/>
                <w:sz w:val="14"/>
                <w:szCs w:val="14"/>
                <w:lang w:val="de-DE"/>
              </w:rPr>
              <w:t>, 1 mM EDTA</w:t>
            </w:r>
          </w:p>
          <w:p w:rsidR="00EC533F" w:rsidRPr="00D97E0B" w:rsidRDefault="00EC533F" w:rsidP="00D96FF7">
            <w:pPr>
              <w:jc w:val="both"/>
              <w:cnfStyle w:val="000000100000" w:firstRow="0" w:lastRow="0" w:firstColumn="0" w:lastColumn="0" w:oddVBand="0" w:evenVBand="0" w:oddHBand="1" w:evenHBand="0" w:firstRowFirstColumn="0" w:firstRowLastColumn="0" w:lastRowFirstColumn="0" w:lastRowLastColumn="0"/>
              <w:rPr>
                <w:rFonts w:ascii="Arial" w:hAnsi="Arial" w:cs="Arial"/>
                <w:b/>
                <w:sz w:val="14"/>
                <w:szCs w:val="14"/>
                <w:lang w:val="de-DE"/>
              </w:rPr>
            </w:pPr>
          </w:p>
        </w:tc>
      </w:tr>
      <w:tr w:rsidR="002614E4" w:rsidRPr="00BB3240" w:rsidTr="006A010E">
        <w:trPr>
          <w:trHeight w:val="41"/>
          <w:jc w:val="center"/>
        </w:trPr>
        <w:tc>
          <w:tcPr>
            <w:cnfStyle w:val="001000000000" w:firstRow="0" w:lastRow="0" w:firstColumn="1" w:lastColumn="0" w:oddVBand="0" w:evenVBand="0" w:oddHBand="0" w:evenHBand="0" w:firstRowFirstColumn="0" w:firstRowLastColumn="0" w:lastRowFirstColumn="0" w:lastRowLastColumn="0"/>
            <w:tcW w:w="1697" w:type="dxa"/>
            <w:shd w:val="clear" w:color="auto" w:fill="auto"/>
            <w:vAlign w:val="center"/>
          </w:tcPr>
          <w:p w:rsidR="002614E4" w:rsidRPr="00D97E0B" w:rsidRDefault="002614E4" w:rsidP="00D96FF7">
            <w:pPr>
              <w:jc w:val="both"/>
              <w:rPr>
                <w:rFonts w:ascii="Arial" w:hAnsi="Arial" w:cs="Arial"/>
                <w:bCs w:val="0"/>
                <w:sz w:val="14"/>
                <w:szCs w:val="14"/>
                <w:lang w:val="de-DE"/>
              </w:rPr>
            </w:pPr>
            <w:proofErr w:type="spellStart"/>
            <w:r w:rsidRPr="00D97E0B">
              <w:rPr>
                <w:rFonts w:ascii="Arial" w:hAnsi="Arial" w:cs="Arial"/>
                <w:b w:val="0"/>
                <w:sz w:val="14"/>
                <w:szCs w:val="14"/>
                <w:lang w:val="de-DE"/>
              </w:rPr>
              <w:t>Dialysis</w:t>
            </w:r>
            <w:proofErr w:type="spellEnd"/>
            <w:r w:rsidRPr="00D97E0B">
              <w:rPr>
                <w:rFonts w:ascii="Arial" w:hAnsi="Arial" w:cs="Arial"/>
                <w:b w:val="0"/>
                <w:sz w:val="14"/>
                <w:szCs w:val="14"/>
                <w:lang w:val="de-DE"/>
              </w:rPr>
              <w:t xml:space="preserve"> </w:t>
            </w:r>
            <w:proofErr w:type="spellStart"/>
            <w:r w:rsidRPr="00D97E0B">
              <w:rPr>
                <w:rFonts w:ascii="Arial" w:hAnsi="Arial" w:cs="Arial"/>
                <w:b w:val="0"/>
                <w:sz w:val="14"/>
                <w:szCs w:val="14"/>
                <w:lang w:val="de-DE"/>
              </w:rPr>
              <w:t>buffer</w:t>
            </w:r>
            <w:proofErr w:type="spellEnd"/>
          </w:p>
        </w:tc>
        <w:tc>
          <w:tcPr>
            <w:tcW w:w="7968" w:type="dxa"/>
            <w:shd w:val="clear" w:color="auto" w:fill="auto"/>
            <w:vAlign w:val="center"/>
          </w:tcPr>
          <w:p w:rsidR="002614E4" w:rsidRPr="00EC533F" w:rsidRDefault="002614E4" w:rsidP="00D96FF7">
            <w:pPr>
              <w:jc w:val="both"/>
              <w:cnfStyle w:val="000000000000" w:firstRow="0" w:lastRow="0" w:firstColumn="0" w:lastColumn="0" w:oddVBand="0" w:evenVBand="0" w:oddHBand="0" w:evenHBand="0" w:firstRowFirstColumn="0" w:firstRowLastColumn="0" w:lastRowFirstColumn="0" w:lastRowLastColumn="0"/>
              <w:rPr>
                <w:rFonts w:ascii="Arial" w:hAnsi="Arial" w:cs="Arial"/>
                <w:sz w:val="14"/>
                <w:szCs w:val="14"/>
                <w:lang w:val="de-DE"/>
              </w:rPr>
            </w:pPr>
            <w:r w:rsidRPr="00D97E0B">
              <w:rPr>
                <w:rFonts w:ascii="Arial" w:hAnsi="Arial" w:cs="Arial"/>
                <w:sz w:val="14"/>
                <w:szCs w:val="14"/>
                <w:lang w:val="de-DE"/>
              </w:rPr>
              <w:t>50 mM HEPES pH 7, 0.5 M NaCl, 2 mM MgCl</w:t>
            </w:r>
            <w:r w:rsidRPr="00D97E0B">
              <w:rPr>
                <w:rFonts w:ascii="Arial" w:hAnsi="Arial" w:cs="Arial"/>
                <w:sz w:val="14"/>
                <w:szCs w:val="14"/>
                <w:vertAlign w:val="subscript"/>
                <w:lang w:val="de-DE"/>
              </w:rPr>
              <w:t>2</w:t>
            </w:r>
            <w:r w:rsidRPr="00D97E0B">
              <w:rPr>
                <w:rFonts w:ascii="Arial" w:hAnsi="Arial" w:cs="Arial"/>
                <w:sz w:val="14"/>
                <w:szCs w:val="14"/>
                <w:lang w:val="de-DE"/>
              </w:rPr>
              <w:t>, 1 mM EDTA, 1 mM DTE</w:t>
            </w:r>
          </w:p>
        </w:tc>
      </w:tr>
    </w:tbl>
    <w:p w:rsidR="007C55E7" w:rsidRPr="00D92ACD" w:rsidRDefault="007C55E7" w:rsidP="00D11AD8">
      <w:pPr>
        <w:spacing w:line="480" w:lineRule="auto"/>
        <w:jc w:val="both"/>
        <w:rPr>
          <w:lang w:val="de-DE"/>
        </w:rPr>
      </w:pPr>
    </w:p>
    <w:sectPr w:rsidR="007C55E7" w:rsidRPr="00D92ACD">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72B"/>
    <w:rsid w:val="00002255"/>
    <w:rsid w:val="0000362E"/>
    <w:rsid w:val="00007291"/>
    <w:rsid w:val="00013ED2"/>
    <w:rsid w:val="00016F49"/>
    <w:rsid w:val="00017BD7"/>
    <w:rsid w:val="00022171"/>
    <w:rsid w:val="00024022"/>
    <w:rsid w:val="00024C26"/>
    <w:rsid w:val="00026853"/>
    <w:rsid w:val="0002729C"/>
    <w:rsid w:val="00031782"/>
    <w:rsid w:val="00032B86"/>
    <w:rsid w:val="00036AC3"/>
    <w:rsid w:val="0003795F"/>
    <w:rsid w:val="000407DD"/>
    <w:rsid w:val="00040DB6"/>
    <w:rsid w:val="00041889"/>
    <w:rsid w:val="00042004"/>
    <w:rsid w:val="00042EE7"/>
    <w:rsid w:val="00044468"/>
    <w:rsid w:val="000465AB"/>
    <w:rsid w:val="00046FE9"/>
    <w:rsid w:val="000506DC"/>
    <w:rsid w:val="00050E91"/>
    <w:rsid w:val="00053A52"/>
    <w:rsid w:val="000550F5"/>
    <w:rsid w:val="00057818"/>
    <w:rsid w:val="00063F4C"/>
    <w:rsid w:val="00066BFF"/>
    <w:rsid w:val="00070B10"/>
    <w:rsid w:val="00073427"/>
    <w:rsid w:val="00074C24"/>
    <w:rsid w:val="000770C5"/>
    <w:rsid w:val="0007711E"/>
    <w:rsid w:val="00077255"/>
    <w:rsid w:val="00082416"/>
    <w:rsid w:val="00083FE8"/>
    <w:rsid w:val="00084CAA"/>
    <w:rsid w:val="0008599C"/>
    <w:rsid w:val="000931EA"/>
    <w:rsid w:val="00093A03"/>
    <w:rsid w:val="000941B3"/>
    <w:rsid w:val="000956D4"/>
    <w:rsid w:val="000A1016"/>
    <w:rsid w:val="000A4798"/>
    <w:rsid w:val="000A57EA"/>
    <w:rsid w:val="000A5F30"/>
    <w:rsid w:val="000C056D"/>
    <w:rsid w:val="000C544F"/>
    <w:rsid w:val="000C709C"/>
    <w:rsid w:val="000D067A"/>
    <w:rsid w:val="000D33B2"/>
    <w:rsid w:val="000D574C"/>
    <w:rsid w:val="000D5B57"/>
    <w:rsid w:val="000D7409"/>
    <w:rsid w:val="000E0599"/>
    <w:rsid w:val="000E6874"/>
    <w:rsid w:val="000F0CCE"/>
    <w:rsid w:val="000F1224"/>
    <w:rsid w:val="000F2DA0"/>
    <w:rsid w:val="000F4972"/>
    <w:rsid w:val="000F57C5"/>
    <w:rsid w:val="001000E7"/>
    <w:rsid w:val="00100FC5"/>
    <w:rsid w:val="00101811"/>
    <w:rsid w:val="00105186"/>
    <w:rsid w:val="0011194E"/>
    <w:rsid w:val="00112A58"/>
    <w:rsid w:val="00122E0D"/>
    <w:rsid w:val="00123B12"/>
    <w:rsid w:val="00125C5F"/>
    <w:rsid w:val="00127360"/>
    <w:rsid w:val="00132B0D"/>
    <w:rsid w:val="00133E7E"/>
    <w:rsid w:val="0013558E"/>
    <w:rsid w:val="001360CF"/>
    <w:rsid w:val="001360D4"/>
    <w:rsid w:val="0014170D"/>
    <w:rsid w:val="0014392B"/>
    <w:rsid w:val="00145328"/>
    <w:rsid w:val="0014704C"/>
    <w:rsid w:val="00154417"/>
    <w:rsid w:val="00155237"/>
    <w:rsid w:val="00155914"/>
    <w:rsid w:val="00156CBE"/>
    <w:rsid w:val="0016068F"/>
    <w:rsid w:val="00166B51"/>
    <w:rsid w:val="0017438E"/>
    <w:rsid w:val="00177865"/>
    <w:rsid w:val="0018309D"/>
    <w:rsid w:val="001871A4"/>
    <w:rsid w:val="00191ABD"/>
    <w:rsid w:val="00192819"/>
    <w:rsid w:val="001A7343"/>
    <w:rsid w:val="001C0A05"/>
    <w:rsid w:val="001C24DB"/>
    <w:rsid w:val="001C31DC"/>
    <w:rsid w:val="001C5D1D"/>
    <w:rsid w:val="001C63FF"/>
    <w:rsid w:val="001C73E1"/>
    <w:rsid w:val="001D0071"/>
    <w:rsid w:val="001D1DE6"/>
    <w:rsid w:val="001D2C39"/>
    <w:rsid w:val="001D49CF"/>
    <w:rsid w:val="001D6400"/>
    <w:rsid w:val="001E1806"/>
    <w:rsid w:val="001E2710"/>
    <w:rsid w:val="001E4AEF"/>
    <w:rsid w:val="001F6278"/>
    <w:rsid w:val="002022FE"/>
    <w:rsid w:val="00205C7E"/>
    <w:rsid w:val="00223248"/>
    <w:rsid w:val="002236CD"/>
    <w:rsid w:val="00224A26"/>
    <w:rsid w:val="0022623E"/>
    <w:rsid w:val="00227BD0"/>
    <w:rsid w:val="002348A3"/>
    <w:rsid w:val="002349A0"/>
    <w:rsid w:val="00234E92"/>
    <w:rsid w:val="00237F75"/>
    <w:rsid w:val="00241ED1"/>
    <w:rsid w:val="00245577"/>
    <w:rsid w:val="00245BF0"/>
    <w:rsid w:val="00250CFA"/>
    <w:rsid w:val="00251EFB"/>
    <w:rsid w:val="0025203D"/>
    <w:rsid w:val="00254D9E"/>
    <w:rsid w:val="002614E4"/>
    <w:rsid w:val="002647A2"/>
    <w:rsid w:val="00266024"/>
    <w:rsid w:val="0026653C"/>
    <w:rsid w:val="0027235B"/>
    <w:rsid w:val="002738B0"/>
    <w:rsid w:val="00274646"/>
    <w:rsid w:val="00275FBC"/>
    <w:rsid w:val="002762EC"/>
    <w:rsid w:val="00276376"/>
    <w:rsid w:val="00276BF9"/>
    <w:rsid w:val="00282537"/>
    <w:rsid w:val="00283E34"/>
    <w:rsid w:val="0028449E"/>
    <w:rsid w:val="002849C2"/>
    <w:rsid w:val="002861DC"/>
    <w:rsid w:val="002973F6"/>
    <w:rsid w:val="002A766A"/>
    <w:rsid w:val="002B17C0"/>
    <w:rsid w:val="002B516E"/>
    <w:rsid w:val="002B776F"/>
    <w:rsid w:val="002C16D7"/>
    <w:rsid w:val="002C4C31"/>
    <w:rsid w:val="002D308C"/>
    <w:rsid w:val="002E0401"/>
    <w:rsid w:val="002E1246"/>
    <w:rsid w:val="002F0047"/>
    <w:rsid w:val="002F2321"/>
    <w:rsid w:val="002F337D"/>
    <w:rsid w:val="002F3DDF"/>
    <w:rsid w:val="002F4402"/>
    <w:rsid w:val="002F6CAF"/>
    <w:rsid w:val="00301A12"/>
    <w:rsid w:val="00303EA0"/>
    <w:rsid w:val="00310548"/>
    <w:rsid w:val="003106CE"/>
    <w:rsid w:val="00310CC0"/>
    <w:rsid w:val="003129D2"/>
    <w:rsid w:val="00313037"/>
    <w:rsid w:val="00315D42"/>
    <w:rsid w:val="0031731C"/>
    <w:rsid w:val="00323725"/>
    <w:rsid w:val="00325236"/>
    <w:rsid w:val="00326E76"/>
    <w:rsid w:val="00331A8B"/>
    <w:rsid w:val="00334F84"/>
    <w:rsid w:val="00335191"/>
    <w:rsid w:val="003371DE"/>
    <w:rsid w:val="00341A66"/>
    <w:rsid w:val="00341DA4"/>
    <w:rsid w:val="00344D20"/>
    <w:rsid w:val="00345DC4"/>
    <w:rsid w:val="0034753F"/>
    <w:rsid w:val="00347FB4"/>
    <w:rsid w:val="00350787"/>
    <w:rsid w:val="003573AB"/>
    <w:rsid w:val="00357D74"/>
    <w:rsid w:val="00361CF8"/>
    <w:rsid w:val="00362A5F"/>
    <w:rsid w:val="0037063D"/>
    <w:rsid w:val="00372204"/>
    <w:rsid w:val="00372660"/>
    <w:rsid w:val="00374571"/>
    <w:rsid w:val="0037676A"/>
    <w:rsid w:val="00377C71"/>
    <w:rsid w:val="003819CE"/>
    <w:rsid w:val="00387CF8"/>
    <w:rsid w:val="003968E2"/>
    <w:rsid w:val="003A0408"/>
    <w:rsid w:val="003A3C0B"/>
    <w:rsid w:val="003A6EFE"/>
    <w:rsid w:val="003A7CB2"/>
    <w:rsid w:val="003B03C6"/>
    <w:rsid w:val="003B31E7"/>
    <w:rsid w:val="003B527B"/>
    <w:rsid w:val="003B5D16"/>
    <w:rsid w:val="003C0905"/>
    <w:rsid w:val="003C13B8"/>
    <w:rsid w:val="003C2178"/>
    <w:rsid w:val="003C2C2E"/>
    <w:rsid w:val="003C6CE4"/>
    <w:rsid w:val="003C6EFB"/>
    <w:rsid w:val="003D1502"/>
    <w:rsid w:val="003D3786"/>
    <w:rsid w:val="003D4FAE"/>
    <w:rsid w:val="003D67E5"/>
    <w:rsid w:val="003D6EBA"/>
    <w:rsid w:val="003F16E2"/>
    <w:rsid w:val="003F49F4"/>
    <w:rsid w:val="003F72C5"/>
    <w:rsid w:val="0040164C"/>
    <w:rsid w:val="00406754"/>
    <w:rsid w:val="00412026"/>
    <w:rsid w:val="0041206E"/>
    <w:rsid w:val="00412906"/>
    <w:rsid w:val="0041463F"/>
    <w:rsid w:val="004212F1"/>
    <w:rsid w:val="00422203"/>
    <w:rsid w:val="00424D75"/>
    <w:rsid w:val="00426759"/>
    <w:rsid w:val="004322CA"/>
    <w:rsid w:val="004345B2"/>
    <w:rsid w:val="004356B5"/>
    <w:rsid w:val="00441704"/>
    <w:rsid w:val="0044582F"/>
    <w:rsid w:val="00446710"/>
    <w:rsid w:val="004469DD"/>
    <w:rsid w:val="00464238"/>
    <w:rsid w:val="00465949"/>
    <w:rsid w:val="00472BE8"/>
    <w:rsid w:val="004738B3"/>
    <w:rsid w:val="00477247"/>
    <w:rsid w:val="004773E2"/>
    <w:rsid w:val="00484D6B"/>
    <w:rsid w:val="0048521F"/>
    <w:rsid w:val="00490E2F"/>
    <w:rsid w:val="004913B8"/>
    <w:rsid w:val="004926D8"/>
    <w:rsid w:val="00493C92"/>
    <w:rsid w:val="00495AD1"/>
    <w:rsid w:val="004979F7"/>
    <w:rsid w:val="004A2954"/>
    <w:rsid w:val="004A4347"/>
    <w:rsid w:val="004B1E23"/>
    <w:rsid w:val="004B1FF1"/>
    <w:rsid w:val="004B2535"/>
    <w:rsid w:val="004C0DAA"/>
    <w:rsid w:val="004C0E62"/>
    <w:rsid w:val="004C492F"/>
    <w:rsid w:val="004C5298"/>
    <w:rsid w:val="004C67FA"/>
    <w:rsid w:val="004D0EF8"/>
    <w:rsid w:val="004D22BA"/>
    <w:rsid w:val="004D331B"/>
    <w:rsid w:val="004D4F29"/>
    <w:rsid w:val="004D7CDD"/>
    <w:rsid w:val="004E13F3"/>
    <w:rsid w:val="004E1ED5"/>
    <w:rsid w:val="004F1F0A"/>
    <w:rsid w:val="004F2ECC"/>
    <w:rsid w:val="004F627F"/>
    <w:rsid w:val="004F76A1"/>
    <w:rsid w:val="00501128"/>
    <w:rsid w:val="00503009"/>
    <w:rsid w:val="00505725"/>
    <w:rsid w:val="0050599C"/>
    <w:rsid w:val="00505DE6"/>
    <w:rsid w:val="00505EA6"/>
    <w:rsid w:val="005076C6"/>
    <w:rsid w:val="00507987"/>
    <w:rsid w:val="00512881"/>
    <w:rsid w:val="00513CE5"/>
    <w:rsid w:val="00514DA9"/>
    <w:rsid w:val="00514F82"/>
    <w:rsid w:val="00516288"/>
    <w:rsid w:val="0051712D"/>
    <w:rsid w:val="00517E14"/>
    <w:rsid w:val="005213A5"/>
    <w:rsid w:val="00526E01"/>
    <w:rsid w:val="005314EB"/>
    <w:rsid w:val="00532B81"/>
    <w:rsid w:val="00536B4A"/>
    <w:rsid w:val="00537240"/>
    <w:rsid w:val="00541AFD"/>
    <w:rsid w:val="00544E4E"/>
    <w:rsid w:val="0054529D"/>
    <w:rsid w:val="005477AB"/>
    <w:rsid w:val="005520EE"/>
    <w:rsid w:val="00553C74"/>
    <w:rsid w:val="0055605B"/>
    <w:rsid w:val="0056279E"/>
    <w:rsid w:val="00571A22"/>
    <w:rsid w:val="00571ECB"/>
    <w:rsid w:val="00581C9D"/>
    <w:rsid w:val="00590B88"/>
    <w:rsid w:val="00592408"/>
    <w:rsid w:val="0059266E"/>
    <w:rsid w:val="0059270E"/>
    <w:rsid w:val="00593CC2"/>
    <w:rsid w:val="005940EF"/>
    <w:rsid w:val="00597B09"/>
    <w:rsid w:val="005A03F4"/>
    <w:rsid w:val="005A10CF"/>
    <w:rsid w:val="005A786D"/>
    <w:rsid w:val="005A7BBF"/>
    <w:rsid w:val="005B299B"/>
    <w:rsid w:val="005B2D9D"/>
    <w:rsid w:val="005B51DD"/>
    <w:rsid w:val="005B70C1"/>
    <w:rsid w:val="005C0C3E"/>
    <w:rsid w:val="005C11E8"/>
    <w:rsid w:val="005C243C"/>
    <w:rsid w:val="005C2BE7"/>
    <w:rsid w:val="005D16C5"/>
    <w:rsid w:val="005D40A8"/>
    <w:rsid w:val="005D6BF0"/>
    <w:rsid w:val="005E5C5C"/>
    <w:rsid w:val="005E5E77"/>
    <w:rsid w:val="005E7E34"/>
    <w:rsid w:val="005F0ECF"/>
    <w:rsid w:val="005F18A7"/>
    <w:rsid w:val="005F1A5A"/>
    <w:rsid w:val="005F3A5C"/>
    <w:rsid w:val="006020A4"/>
    <w:rsid w:val="0060227E"/>
    <w:rsid w:val="0060344D"/>
    <w:rsid w:val="00606B53"/>
    <w:rsid w:val="006200D4"/>
    <w:rsid w:val="00620BD2"/>
    <w:rsid w:val="0062216D"/>
    <w:rsid w:val="00625387"/>
    <w:rsid w:val="00626F38"/>
    <w:rsid w:val="006318F9"/>
    <w:rsid w:val="00631FB6"/>
    <w:rsid w:val="00632EDC"/>
    <w:rsid w:val="00635B8E"/>
    <w:rsid w:val="00637A73"/>
    <w:rsid w:val="00645FE5"/>
    <w:rsid w:val="00651DE8"/>
    <w:rsid w:val="006547B9"/>
    <w:rsid w:val="0066110D"/>
    <w:rsid w:val="00670353"/>
    <w:rsid w:val="00673E36"/>
    <w:rsid w:val="006747D5"/>
    <w:rsid w:val="00682E99"/>
    <w:rsid w:val="00684691"/>
    <w:rsid w:val="00684E84"/>
    <w:rsid w:val="00692065"/>
    <w:rsid w:val="00692684"/>
    <w:rsid w:val="0069430B"/>
    <w:rsid w:val="006947DA"/>
    <w:rsid w:val="00696669"/>
    <w:rsid w:val="00697958"/>
    <w:rsid w:val="006A010E"/>
    <w:rsid w:val="006A1666"/>
    <w:rsid w:val="006A3307"/>
    <w:rsid w:val="006A41BE"/>
    <w:rsid w:val="006A59BE"/>
    <w:rsid w:val="006B3A74"/>
    <w:rsid w:val="006B5A1A"/>
    <w:rsid w:val="006B5AD0"/>
    <w:rsid w:val="006C7380"/>
    <w:rsid w:val="006D0B2E"/>
    <w:rsid w:val="006D32BA"/>
    <w:rsid w:val="006D3DFA"/>
    <w:rsid w:val="006D46E7"/>
    <w:rsid w:val="006D60EA"/>
    <w:rsid w:val="006D708D"/>
    <w:rsid w:val="006E0553"/>
    <w:rsid w:val="006E795D"/>
    <w:rsid w:val="006F3E8E"/>
    <w:rsid w:val="006F6262"/>
    <w:rsid w:val="00701FDA"/>
    <w:rsid w:val="00702088"/>
    <w:rsid w:val="00704423"/>
    <w:rsid w:val="0071212E"/>
    <w:rsid w:val="007163F3"/>
    <w:rsid w:val="007255F4"/>
    <w:rsid w:val="0072569F"/>
    <w:rsid w:val="0073219D"/>
    <w:rsid w:val="00732545"/>
    <w:rsid w:val="00734CB5"/>
    <w:rsid w:val="0073543B"/>
    <w:rsid w:val="00737B64"/>
    <w:rsid w:val="00744121"/>
    <w:rsid w:val="00744927"/>
    <w:rsid w:val="00746717"/>
    <w:rsid w:val="00746B60"/>
    <w:rsid w:val="00747E87"/>
    <w:rsid w:val="007510F5"/>
    <w:rsid w:val="00752DD1"/>
    <w:rsid w:val="00753C36"/>
    <w:rsid w:val="0076308D"/>
    <w:rsid w:val="0076372E"/>
    <w:rsid w:val="00766F80"/>
    <w:rsid w:val="007730B0"/>
    <w:rsid w:val="0077668D"/>
    <w:rsid w:val="0078087D"/>
    <w:rsid w:val="00780AF3"/>
    <w:rsid w:val="00781C88"/>
    <w:rsid w:val="0078240E"/>
    <w:rsid w:val="00783230"/>
    <w:rsid w:val="00784F56"/>
    <w:rsid w:val="00797B18"/>
    <w:rsid w:val="007A0A69"/>
    <w:rsid w:val="007A35E0"/>
    <w:rsid w:val="007A6CA1"/>
    <w:rsid w:val="007B51A7"/>
    <w:rsid w:val="007B54FE"/>
    <w:rsid w:val="007C07A9"/>
    <w:rsid w:val="007C413C"/>
    <w:rsid w:val="007C55E7"/>
    <w:rsid w:val="007D037C"/>
    <w:rsid w:val="007D3A0C"/>
    <w:rsid w:val="007D467B"/>
    <w:rsid w:val="007E08BF"/>
    <w:rsid w:val="007E4E94"/>
    <w:rsid w:val="007F1FBB"/>
    <w:rsid w:val="007F2B8D"/>
    <w:rsid w:val="007F4AD7"/>
    <w:rsid w:val="0080371F"/>
    <w:rsid w:val="00810D51"/>
    <w:rsid w:val="0082221A"/>
    <w:rsid w:val="00824011"/>
    <w:rsid w:val="0083407B"/>
    <w:rsid w:val="008343DF"/>
    <w:rsid w:val="0083769D"/>
    <w:rsid w:val="00853E4B"/>
    <w:rsid w:val="008553E0"/>
    <w:rsid w:val="00856B15"/>
    <w:rsid w:val="00857A4A"/>
    <w:rsid w:val="00857EE5"/>
    <w:rsid w:val="00861833"/>
    <w:rsid w:val="00861D01"/>
    <w:rsid w:val="00863A58"/>
    <w:rsid w:val="008655AE"/>
    <w:rsid w:val="008829C0"/>
    <w:rsid w:val="00883559"/>
    <w:rsid w:val="00886D2D"/>
    <w:rsid w:val="008915B8"/>
    <w:rsid w:val="008919F5"/>
    <w:rsid w:val="00893A28"/>
    <w:rsid w:val="008A0106"/>
    <w:rsid w:val="008A1395"/>
    <w:rsid w:val="008A2CAE"/>
    <w:rsid w:val="008A52A9"/>
    <w:rsid w:val="008B1C06"/>
    <w:rsid w:val="008B231B"/>
    <w:rsid w:val="008B245C"/>
    <w:rsid w:val="008B492E"/>
    <w:rsid w:val="008C0DAE"/>
    <w:rsid w:val="008C2F07"/>
    <w:rsid w:val="008C33BB"/>
    <w:rsid w:val="008C56FD"/>
    <w:rsid w:val="008C5B38"/>
    <w:rsid w:val="008D1765"/>
    <w:rsid w:val="008D33A9"/>
    <w:rsid w:val="008E0166"/>
    <w:rsid w:val="008E0F21"/>
    <w:rsid w:val="008E2947"/>
    <w:rsid w:val="008E6DDC"/>
    <w:rsid w:val="008F0F82"/>
    <w:rsid w:val="008F418B"/>
    <w:rsid w:val="00904A88"/>
    <w:rsid w:val="00917B7A"/>
    <w:rsid w:val="0092097E"/>
    <w:rsid w:val="009209E2"/>
    <w:rsid w:val="00921C5A"/>
    <w:rsid w:val="00925512"/>
    <w:rsid w:val="009261B2"/>
    <w:rsid w:val="0092725D"/>
    <w:rsid w:val="00927D2C"/>
    <w:rsid w:val="00930A49"/>
    <w:rsid w:val="00931CDB"/>
    <w:rsid w:val="0093211F"/>
    <w:rsid w:val="00933F7B"/>
    <w:rsid w:val="0093784A"/>
    <w:rsid w:val="009416EC"/>
    <w:rsid w:val="009548CA"/>
    <w:rsid w:val="009557BC"/>
    <w:rsid w:val="009621BF"/>
    <w:rsid w:val="00964D73"/>
    <w:rsid w:val="009665EC"/>
    <w:rsid w:val="00966856"/>
    <w:rsid w:val="00966E07"/>
    <w:rsid w:val="009802C0"/>
    <w:rsid w:val="00984055"/>
    <w:rsid w:val="00985BA2"/>
    <w:rsid w:val="00997EC4"/>
    <w:rsid w:val="00997FCB"/>
    <w:rsid w:val="009A01F0"/>
    <w:rsid w:val="009A0471"/>
    <w:rsid w:val="009A2D08"/>
    <w:rsid w:val="009A652B"/>
    <w:rsid w:val="009A6BF7"/>
    <w:rsid w:val="009A7741"/>
    <w:rsid w:val="009B38BD"/>
    <w:rsid w:val="009B400A"/>
    <w:rsid w:val="009B508D"/>
    <w:rsid w:val="009B6ADC"/>
    <w:rsid w:val="009C261A"/>
    <w:rsid w:val="009C52E3"/>
    <w:rsid w:val="009C650E"/>
    <w:rsid w:val="009C65E4"/>
    <w:rsid w:val="009C6828"/>
    <w:rsid w:val="009C7736"/>
    <w:rsid w:val="009D0681"/>
    <w:rsid w:val="009E2126"/>
    <w:rsid w:val="009E4E2B"/>
    <w:rsid w:val="009E633D"/>
    <w:rsid w:val="009E68F5"/>
    <w:rsid w:val="009F33DE"/>
    <w:rsid w:val="009F425D"/>
    <w:rsid w:val="00A022BE"/>
    <w:rsid w:val="00A0459B"/>
    <w:rsid w:val="00A04A1D"/>
    <w:rsid w:val="00A06898"/>
    <w:rsid w:val="00A11328"/>
    <w:rsid w:val="00A1688F"/>
    <w:rsid w:val="00A16CAB"/>
    <w:rsid w:val="00A16FC9"/>
    <w:rsid w:val="00A17842"/>
    <w:rsid w:val="00A217C0"/>
    <w:rsid w:val="00A25ECB"/>
    <w:rsid w:val="00A26C09"/>
    <w:rsid w:val="00A330BB"/>
    <w:rsid w:val="00A35123"/>
    <w:rsid w:val="00A42DDA"/>
    <w:rsid w:val="00A4393B"/>
    <w:rsid w:val="00A467CE"/>
    <w:rsid w:val="00A51886"/>
    <w:rsid w:val="00A51923"/>
    <w:rsid w:val="00A5348E"/>
    <w:rsid w:val="00A60E9D"/>
    <w:rsid w:val="00A634CA"/>
    <w:rsid w:val="00A720B3"/>
    <w:rsid w:val="00A81489"/>
    <w:rsid w:val="00A86217"/>
    <w:rsid w:val="00A90B9C"/>
    <w:rsid w:val="00A947DD"/>
    <w:rsid w:val="00A97C20"/>
    <w:rsid w:val="00AA6638"/>
    <w:rsid w:val="00AB3014"/>
    <w:rsid w:val="00AB672B"/>
    <w:rsid w:val="00AB7F50"/>
    <w:rsid w:val="00AC0AB1"/>
    <w:rsid w:val="00AC10F5"/>
    <w:rsid w:val="00AC2B4C"/>
    <w:rsid w:val="00AC56A0"/>
    <w:rsid w:val="00AC5CA5"/>
    <w:rsid w:val="00AC7546"/>
    <w:rsid w:val="00AC7E24"/>
    <w:rsid w:val="00AD1CE2"/>
    <w:rsid w:val="00AD5004"/>
    <w:rsid w:val="00AD6210"/>
    <w:rsid w:val="00AE0B81"/>
    <w:rsid w:val="00AE1055"/>
    <w:rsid w:val="00AE1EA2"/>
    <w:rsid w:val="00AE4BFD"/>
    <w:rsid w:val="00AE6BBF"/>
    <w:rsid w:val="00AF3FDA"/>
    <w:rsid w:val="00AF5799"/>
    <w:rsid w:val="00AF5CEC"/>
    <w:rsid w:val="00AF5E28"/>
    <w:rsid w:val="00AF652E"/>
    <w:rsid w:val="00AF79D4"/>
    <w:rsid w:val="00B05022"/>
    <w:rsid w:val="00B05EB5"/>
    <w:rsid w:val="00B06E13"/>
    <w:rsid w:val="00B0716F"/>
    <w:rsid w:val="00B12085"/>
    <w:rsid w:val="00B136D3"/>
    <w:rsid w:val="00B14EA6"/>
    <w:rsid w:val="00B17EE1"/>
    <w:rsid w:val="00B245D3"/>
    <w:rsid w:val="00B27B02"/>
    <w:rsid w:val="00B3584A"/>
    <w:rsid w:val="00B36DB2"/>
    <w:rsid w:val="00B40F72"/>
    <w:rsid w:val="00B418C2"/>
    <w:rsid w:val="00B41D48"/>
    <w:rsid w:val="00B41DEC"/>
    <w:rsid w:val="00B42958"/>
    <w:rsid w:val="00B42BAD"/>
    <w:rsid w:val="00B47AFA"/>
    <w:rsid w:val="00B60DDF"/>
    <w:rsid w:val="00B65D60"/>
    <w:rsid w:val="00B667DE"/>
    <w:rsid w:val="00B669F6"/>
    <w:rsid w:val="00B67EF6"/>
    <w:rsid w:val="00B7326F"/>
    <w:rsid w:val="00B75B92"/>
    <w:rsid w:val="00B76FD2"/>
    <w:rsid w:val="00B801E2"/>
    <w:rsid w:val="00B838F5"/>
    <w:rsid w:val="00B84C8E"/>
    <w:rsid w:val="00B86D8B"/>
    <w:rsid w:val="00B912BA"/>
    <w:rsid w:val="00B927AE"/>
    <w:rsid w:val="00B939AD"/>
    <w:rsid w:val="00B941F3"/>
    <w:rsid w:val="00B97166"/>
    <w:rsid w:val="00BA1F94"/>
    <w:rsid w:val="00BA411C"/>
    <w:rsid w:val="00BA42A5"/>
    <w:rsid w:val="00BA4822"/>
    <w:rsid w:val="00BB0E04"/>
    <w:rsid w:val="00BB3240"/>
    <w:rsid w:val="00BC31C5"/>
    <w:rsid w:val="00BC3D8E"/>
    <w:rsid w:val="00BC75F4"/>
    <w:rsid w:val="00BD0443"/>
    <w:rsid w:val="00BD148A"/>
    <w:rsid w:val="00BD17DF"/>
    <w:rsid w:val="00BD380D"/>
    <w:rsid w:val="00BD5047"/>
    <w:rsid w:val="00BD6A98"/>
    <w:rsid w:val="00BE03D6"/>
    <w:rsid w:val="00BE2490"/>
    <w:rsid w:val="00BE424B"/>
    <w:rsid w:val="00BF73CC"/>
    <w:rsid w:val="00C00101"/>
    <w:rsid w:val="00C0597E"/>
    <w:rsid w:val="00C067F1"/>
    <w:rsid w:val="00C06EBF"/>
    <w:rsid w:val="00C13703"/>
    <w:rsid w:val="00C149DE"/>
    <w:rsid w:val="00C16F09"/>
    <w:rsid w:val="00C20D4B"/>
    <w:rsid w:val="00C229A3"/>
    <w:rsid w:val="00C22AAE"/>
    <w:rsid w:val="00C25757"/>
    <w:rsid w:val="00C26EA3"/>
    <w:rsid w:val="00C327D7"/>
    <w:rsid w:val="00C34067"/>
    <w:rsid w:val="00C372ED"/>
    <w:rsid w:val="00C42907"/>
    <w:rsid w:val="00C458BA"/>
    <w:rsid w:val="00C45A76"/>
    <w:rsid w:val="00C51461"/>
    <w:rsid w:val="00C54915"/>
    <w:rsid w:val="00C5695D"/>
    <w:rsid w:val="00C5781B"/>
    <w:rsid w:val="00C618E5"/>
    <w:rsid w:val="00C67CB4"/>
    <w:rsid w:val="00C714A8"/>
    <w:rsid w:val="00C77076"/>
    <w:rsid w:val="00C80428"/>
    <w:rsid w:val="00C80659"/>
    <w:rsid w:val="00C82CF0"/>
    <w:rsid w:val="00C83CB3"/>
    <w:rsid w:val="00C853B2"/>
    <w:rsid w:val="00C856B3"/>
    <w:rsid w:val="00C952DE"/>
    <w:rsid w:val="00CA3481"/>
    <w:rsid w:val="00CA7A81"/>
    <w:rsid w:val="00CB2C89"/>
    <w:rsid w:val="00CB54EE"/>
    <w:rsid w:val="00CB7340"/>
    <w:rsid w:val="00CB7B46"/>
    <w:rsid w:val="00CC54C1"/>
    <w:rsid w:val="00CD5E29"/>
    <w:rsid w:val="00CE1106"/>
    <w:rsid w:val="00CE1AD2"/>
    <w:rsid w:val="00CE3A47"/>
    <w:rsid w:val="00CF0409"/>
    <w:rsid w:val="00CF0C13"/>
    <w:rsid w:val="00D02960"/>
    <w:rsid w:val="00D04686"/>
    <w:rsid w:val="00D10329"/>
    <w:rsid w:val="00D11AD8"/>
    <w:rsid w:val="00D1438D"/>
    <w:rsid w:val="00D16020"/>
    <w:rsid w:val="00D16BDC"/>
    <w:rsid w:val="00D2368A"/>
    <w:rsid w:val="00D25BB7"/>
    <w:rsid w:val="00D328A8"/>
    <w:rsid w:val="00D32D5C"/>
    <w:rsid w:val="00D40625"/>
    <w:rsid w:val="00D40C0A"/>
    <w:rsid w:val="00D41AF9"/>
    <w:rsid w:val="00D43B68"/>
    <w:rsid w:val="00D44B02"/>
    <w:rsid w:val="00D53CDE"/>
    <w:rsid w:val="00D61A56"/>
    <w:rsid w:val="00D66D5E"/>
    <w:rsid w:val="00D72B81"/>
    <w:rsid w:val="00D74CC9"/>
    <w:rsid w:val="00D76C98"/>
    <w:rsid w:val="00D813C7"/>
    <w:rsid w:val="00D845CB"/>
    <w:rsid w:val="00D92ACD"/>
    <w:rsid w:val="00D94A6A"/>
    <w:rsid w:val="00D94C19"/>
    <w:rsid w:val="00D95EC6"/>
    <w:rsid w:val="00D962BE"/>
    <w:rsid w:val="00D96FF7"/>
    <w:rsid w:val="00D97E0B"/>
    <w:rsid w:val="00DA0CB5"/>
    <w:rsid w:val="00DA3258"/>
    <w:rsid w:val="00DA6014"/>
    <w:rsid w:val="00DA6BC2"/>
    <w:rsid w:val="00DA738C"/>
    <w:rsid w:val="00DB44CE"/>
    <w:rsid w:val="00DB6739"/>
    <w:rsid w:val="00DB7DAC"/>
    <w:rsid w:val="00DC41A6"/>
    <w:rsid w:val="00DD29B3"/>
    <w:rsid w:val="00DD2BB2"/>
    <w:rsid w:val="00DD5763"/>
    <w:rsid w:val="00DD5EC3"/>
    <w:rsid w:val="00DD7F88"/>
    <w:rsid w:val="00DE11DF"/>
    <w:rsid w:val="00DE4320"/>
    <w:rsid w:val="00DE7867"/>
    <w:rsid w:val="00DF48F8"/>
    <w:rsid w:val="00E00F23"/>
    <w:rsid w:val="00E02307"/>
    <w:rsid w:val="00E026EF"/>
    <w:rsid w:val="00E03F43"/>
    <w:rsid w:val="00E06003"/>
    <w:rsid w:val="00E101FD"/>
    <w:rsid w:val="00E13938"/>
    <w:rsid w:val="00E14599"/>
    <w:rsid w:val="00E16A5C"/>
    <w:rsid w:val="00E20CB5"/>
    <w:rsid w:val="00E22352"/>
    <w:rsid w:val="00E240AA"/>
    <w:rsid w:val="00E2437A"/>
    <w:rsid w:val="00E25746"/>
    <w:rsid w:val="00E26699"/>
    <w:rsid w:val="00E35DD8"/>
    <w:rsid w:val="00E406E9"/>
    <w:rsid w:val="00E41413"/>
    <w:rsid w:val="00E4267D"/>
    <w:rsid w:val="00E42A36"/>
    <w:rsid w:val="00E53A57"/>
    <w:rsid w:val="00E56487"/>
    <w:rsid w:val="00E567BB"/>
    <w:rsid w:val="00E66A9A"/>
    <w:rsid w:val="00E67604"/>
    <w:rsid w:val="00E735B2"/>
    <w:rsid w:val="00E75695"/>
    <w:rsid w:val="00E76808"/>
    <w:rsid w:val="00E81543"/>
    <w:rsid w:val="00E81BA2"/>
    <w:rsid w:val="00E87ABF"/>
    <w:rsid w:val="00E90A8A"/>
    <w:rsid w:val="00E941B3"/>
    <w:rsid w:val="00E9560A"/>
    <w:rsid w:val="00EA06CA"/>
    <w:rsid w:val="00EA5E7A"/>
    <w:rsid w:val="00EB19DB"/>
    <w:rsid w:val="00EB2161"/>
    <w:rsid w:val="00EB30AA"/>
    <w:rsid w:val="00EB4F54"/>
    <w:rsid w:val="00EB63F1"/>
    <w:rsid w:val="00EC20D6"/>
    <w:rsid w:val="00EC3A00"/>
    <w:rsid w:val="00EC533F"/>
    <w:rsid w:val="00EC6717"/>
    <w:rsid w:val="00ED43A1"/>
    <w:rsid w:val="00ED7035"/>
    <w:rsid w:val="00EE7805"/>
    <w:rsid w:val="00EF2C39"/>
    <w:rsid w:val="00EF5F09"/>
    <w:rsid w:val="00EF61EC"/>
    <w:rsid w:val="00F03684"/>
    <w:rsid w:val="00F04C67"/>
    <w:rsid w:val="00F04F10"/>
    <w:rsid w:val="00F05A9A"/>
    <w:rsid w:val="00F062F9"/>
    <w:rsid w:val="00F06E4D"/>
    <w:rsid w:val="00F14E1E"/>
    <w:rsid w:val="00F15376"/>
    <w:rsid w:val="00F167AD"/>
    <w:rsid w:val="00F205CC"/>
    <w:rsid w:val="00F206D9"/>
    <w:rsid w:val="00F337AF"/>
    <w:rsid w:val="00F340AE"/>
    <w:rsid w:val="00F35689"/>
    <w:rsid w:val="00F35B53"/>
    <w:rsid w:val="00F440E9"/>
    <w:rsid w:val="00F4417C"/>
    <w:rsid w:val="00F45921"/>
    <w:rsid w:val="00F45C73"/>
    <w:rsid w:val="00F462BC"/>
    <w:rsid w:val="00F46A2A"/>
    <w:rsid w:val="00F54255"/>
    <w:rsid w:val="00F56F30"/>
    <w:rsid w:val="00F57970"/>
    <w:rsid w:val="00F60BAB"/>
    <w:rsid w:val="00F6466D"/>
    <w:rsid w:val="00F65A98"/>
    <w:rsid w:val="00F67981"/>
    <w:rsid w:val="00F71038"/>
    <w:rsid w:val="00F73280"/>
    <w:rsid w:val="00F802DE"/>
    <w:rsid w:val="00F83A7F"/>
    <w:rsid w:val="00F90E2E"/>
    <w:rsid w:val="00F9218B"/>
    <w:rsid w:val="00F95D7F"/>
    <w:rsid w:val="00FA0973"/>
    <w:rsid w:val="00FA2A80"/>
    <w:rsid w:val="00FA2FC4"/>
    <w:rsid w:val="00FB6CC3"/>
    <w:rsid w:val="00FB6E84"/>
    <w:rsid w:val="00FC2334"/>
    <w:rsid w:val="00FC5D89"/>
    <w:rsid w:val="00FD3599"/>
    <w:rsid w:val="00FD43E0"/>
    <w:rsid w:val="00FD6DA4"/>
    <w:rsid w:val="00FF0A57"/>
    <w:rsid w:val="00FF0D9A"/>
    <w:rsid w:val="00FF0E40"/>
    <w:rsid w:val="00FF24FC"/>
    <w:rsid w:val="00FF2FF7"/>
    <w:rsid w:val="00FF4A85"/>
    <w:rsid w:val="00FF7C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B672B"/>
    <w:pPr>
      <w:spacing w:after="0" w:line="240" w:lineRule="auto"/>
    </w:pPr>
    <w:rPr>
      <w:rFonts w:ascii="Times New Roman" w:eastAsia="Times New Roman" w:hAnsi="Times New Roman" w:cs="Times New Roman"/>
      <w:sz w:val="24"/>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semiHidden/>
    <w:rsid w:val="00AB672B"/>
    <w:rPr>
      <w:color w:val="0000FF"/>
      <w:u w:val="single"/>
    </w:rPr>
  </w:style>
  <w:style w:type="character" w:customStyle="1" w:styleId="l">
    <w:name w:val="l"/>
    <w:rsid w:val="00AB672B"/>
  </w:style>
  <w:style w:type="table" w:styleId="HelleSchattierung">
    <w:name w:val="Light Shading"/>
    <w:basedOn w:val="NormaleTabelle"/>
    <w:uiPriority w:val="60"/>
    <w:rsid w:val="00D92ACD"/>
    <w:pPr>
      <w:spacing w:after="0" w:line="240" w:lineRule="auto"/>
    </w:pPr>
    <w:rPr>
      <w:rFonts w:ascii="Calibri" w:eastAsia="Calibri" w:hAnsi="Calibri" w:cs="Times New Roman"/>
      <w:color w:val="000000"/>
      <w:lang w:val="de-AT"/>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Sprechblasentext">
    <w:name w:val="Balloon Text"/>
    <w:basedOn w:val="Standard"/>
    <w:link w:val="SprechblasentextZchn"/>
    <w:uiPriority w:val="99"/>
    <w:semiHidden/>
    <w:unhideWhenUsed/>
    <w:rsid w:val="004738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738B3"/>
    <w:rPr>
      <w:rFonts w:ascii="Tahoma" w:eastAsia="Times New Roman" w:hAnsi="Tahoma" w:cs="Tahoma"/>
      <w:sz w:val="16"/>
      <w:szCs w:val="16"/>
    </w:rPr>
  </w:style>
  <w:style w:type="paragraph" w:styleId="Listenabsatz">
    <w:name w:val="List Paragraph"/>
    <w:basedOn w:val="Standard"/>
    <w:uiPriority w:val="34"/>
    <w:qFormat/>
    <w:rsid w:val="00B14EA6"/>
    <w:pPr>
      <w:ind w:left="720"/>
      <w:contextualSpacing/>
    </w:pPr>
  </w:style>
  <w:style w:type="character" w:styleId="Kommentarzeichen">
    <w:name w:val="annotation reference"/>
    <w:basedOn w:val="Absatz-Standardschriftart"/>
    <w:uiPriority w:val="99"/>
    <w:semiHidden/>
    <w:unhideWhenUsed/>
    <w:rsid w:val="009665EC"/>
    <w:rPr>
      <w:sz w:val="16"/>
      <w:szCs w:val="16"/>
    </w:rPr>
  </w:style>
  <w:style w:type="paragraph" w:styleId="Kommentartext">
    <w:name w:val="annotation text"/>
    <w:basedOn w:val="Standard"/>
    <w:link w:val="KommentartextZchn"/>
    <w:uiPriority w:val="99"/>
    <w:semiHidden/>
    <w:unhideWhenUsed/>
    <w:rsid w:val="009665EC"/>
    <w:pPr>
      <w:spacing w:after="200"/>
    </w:pPr>
    <w:rPr>
      <w:rFonts w:asciiTheme="minorHAnsi" w:eastAsiaTheme="minorHAnsi" w:hAnsiTheme="minorHAnsi" w:cstheme="minorBidi"/>
      <w:sz w:val="20"/>
    </w:rPr>
  </w:style>
  <w:style w:type="character" w:customStyle="1" w:styleId="KommentartextZchn">
    <w:name w:val="Kommentartext Zchn"/>
    <w:basedOn w:val="Absatz-Standardschriftart"/>
    <w:link w:val="Kommentartext"/>
    <w:uiPriority w:val="99"/>
    <w:semiHidden/>
    <w:rsid w:val="009665EC"/>
    <w:rPr>
      <w:sz w:val="20"/>
      <w:szCs w:val="20"/>
    </w:rPr>
  </w:style>
  <w:style w:type="table" w:styleId="Tabellenraster">
    <w:name w:val="Table Grid"/>
    <w:basedOn w:val="NormaleTabelle"/>
    <w:uiPriority w:val="59"/>
    <w:rsid w:val="009F33D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teraturverzeichnis">
    <w:name w:val="Bibliography"/>
    <w:basedOn w:val="Standard"/>
    <w:next w:val="Standard"/>
    <w:uiPriority w:val="37"/>
    <w:unhideWhenUsed/>
    <w:rsid w:val="00C26EA3"/>
    <w:pPr>
      <w:tabs>
        <w:tab w:val="left" w:pos="264"/>
      </w:tabs>
      <w:spacing w:line="480" w:lineRule="auto"/>
      <w:ind w:left="264" w:hanging="264"/>
    </w:pPr>
  </w:style>
  <w:style w:type="paragraph" w:styleId="Kommentarthema">
    <w:name w:val="annotation subject"/>
    <w:basedOn w:val="Kommentartext"/>
    <w:next w:val="Kommentartext"/>
    <w:link w:val="KommentarthemaZchn"/>
    <w:uiPriority w:val="99"/>
    <w:semiHidden/>
    <w:unhideWhenUsed/>
    <w:rsid w:val="004D4F29"/>
    <w:pPr>
      <w:spacing w:after="0"/>
    </w:pPr>
    <w:rPr>
      <w:rFonts w:ascii="Times New Roman" w:eastAsia="Times New Roman" w:hAnsi="Times New Roman" w:cs="Times New Roman"/>
      <w:b/>
      <w:bCs/>
    </w:rPr>
  </w:style>
  <w:style w:type="character" w:customStyle="1" w:styleId="KommentarthemaZchn">
    <w:name w:val="Kommentarthema Zchn"/>
    <w:basedOn w:val="KommentartextZchn"/>
    <w:link w:val="Kommentarthema"/>
    <w:uiPriority w:val="99"/>
    <w:semiHidden/>
    <w:rsid w:val="004D4F29"/>
    <w:rPr>
      <w:rFonts w:ascii="Times New Roman" w:eastAsia="Times New Roman" w:hAnsi="Times New Roman" w:cs="Times New Roman"/>
      <w:b/>
      <w:bCs/>
      <w:sz w:val="20"/>
      <w:szCs w:val="20"/>
    </w:rPr>
  </w:style>
  <w:style w:type="paragraph" w:customStyle="1" w:styleId="SMText">
    <w:name w:val="SM Text"/>
    <w:basedOn w:val="Standard"/>
    <w:qFormat/>
    <w:rsid w:val="000550F5"/>
    <w:pPr>
      <w:ind w:firstLine="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B672B"/>
    <w:pPr>
      <w:spacing w:after="0" w:line="240" w:lineRule="auto"/>
    </w:pPr>
    <w:rPr>
      <w:rFonts w:ascii="Times New Roman" w:eastAsia="Times New Roman" w:hAnsi="Times New Roman" w:cs="Times New Roman"/>
      <w:sz w:val="24"/>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semiHidden/>
    <w:rsid w:val="00AB672B"/>
    <w:rPr>
      <w:color w:val="0000FF"/>
      <w:u w:val="single"/>
    </w:rPr>
  </w:style>
  <w:style w:type="character" w:customStyle="1" w:styleId="l">
    <w:name w:val="l"/>
    <w:rsid w:val="00AB672B"/>
  </w:style>
  <w:style w:type="table" w:styleId="HelleSchattierung">
    <w:name w:val="Light Shading"/>
    <w:basedOn w:val="NormaleTabelle"/>
    <w:uiPriority w:val="60"/>
    <w:rsid w:val="00D92ACD"/>
    <w:pPr>
      <w:spacing w:after="0" w:line="240" w:lineRule="auto"/>
    </w:pPr>
    <w:rPr>
      <w:rFonts w:ascii="Calibri" w:eastAsia="Calibri" w:hAnsi="Calibri" w:cs="Times New Roman"/>
      <w:color w:val="000000"/>
      <w:lang w:val="de-AT"/>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Sprechblasentext">
    <w:name w:val="Balloon Text"/>
    <w:basedOn w:val="Standard"/>
    <w:link w:val="SprechblasentextZchn"/>
    <w:uiPriority w:val="99"/>
    <w:semiHidden/>
    <w:unhideWhenUsed/>
    <w:rsid w:val="004738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738B3"/>
    <w:rPr>
      <w:rFonts w:ascii="Tahoma" w:eastAsia="Times New Roman" w:hAnsi="Tahoma" w:cs="Tahoma"/>
      <w:sz w:val="16"/>
      <w:szCs w:val="16"/>
    </w:rPr>
  </w:style>
  <w:style w:type="paragraph" w:styleId="Listenabsatz">
    <w:name w:val="List Paragraph"/>
    <w:basedOn w:val="Standard"/>
    <w:uiPriority w:val="34"/>
    <w:qFormat/>
    <w:rsid w:val="00B14EA6"/>
    <w:pPr>
      <w:ind w:left="720"/>
      <w:contextualSpacing/>
    </w:pPr>
  </w:style>
  <w:style w:type="character" w:styleId="Kommentarzeichen">
    <w:name w:val="annotation reference"/>
    <w:basedOn w:val="Absatz-Standardschriftart"/>
    <w:uiPriority w:val="99"/>
    <w:semiHidden/>
    <w:unhideWhenUsed/>
    <w:rsid w:val="009665EC"/>
    <w:rPr>
      <w:sz w:val="16"/>
      <w:szCs w:val="16"/>
    </w:rPr>
  </w:style>
  <w:style w:type="paragraph" w:styleId="Kommentartext">
    <w:name w:val="annotation text"/>
    <w:basedOn w:val="Standard"/>
    <w:link w:val="KommentartextZchn"/>
    <w:uiPriority w:val="99"/>
    <w:semiHidden/>
    <w:unhideWhenUsed/>
    <w:rsid w:val="009665EC"/>
    <w:pPr>
      <w:spacing w:after="200"/>
    </w:pPr>
    <w:rPr>
      <w:rFonts w:asciiTheme="minorHAnsi" w:eastAsiaTheme="minorHAnsi" w:hAnsiTheme="minorHAnsi" w:cstheme="minorBidi"/>
      <w:sz w:val="20"/>
    </w:rPr>
  </w:style>
  <w:style w:type="character" w:customStyle="1" w:styleId="KommentartextZchn">
    <w:name w:val="Kommentartext Zchn"/>
    <w:basedOn w:val="Absatz-Standardschriftart"/>
    <w:link w:val="Kommentartext"/>
    <w:uiPriority w:val="99"/>
    <w:semiHidden/>
    <w:rsid w:val="009665EC"/>
    <w:rPr>
      <w:sz w:val="20"/>
      <w:szCs w:val="20"/>
    </w:rPr>
  </w:style>
  <w:style w:type="table" w:styleId="Tabellenraster">
    <w:name w:val="Table Grid"/>
    <w:basedOn w:val="NormaleTabelle"/>
    <w:uiPriority w:val="59"/>
    <w:rsid w:val="009F33D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teraturverzeichnis">
    <w:name w:val="Bibliography"/>
    <w:basedOn w:val="Standard"/>
    <w:next w:val="Standard"/>
    <w:uiPriority w:val="37"/>
    <w:unhideWhenUsed/>
    <w:rsid w:val="00C26EA3"/>
    <w:pPr>
      <w:tabs>
        <w:tab w:val="left" w:pos="264"/>
      </w:tabs>
      <w:spacing w:line="480" w:lineRule="auto"/>
      <w:ind w:left="264" w:hanging="264"/>
    </w:pPr>
  </w:style>
  <w:style w:type="paragraph" w:styleId="Kommentarthema">
    <w:name w:val="annotation subject"/>
    <w:basedOn w:val="Kommentartext"/>
    <w:next w:val="Kommentartext"/>
    <w:link w:val="KommentarthemaZchn"/>
    <w:uiPriority w:val="99"/>
    <w:semiHidden/>
    <w:unhideWhenUsed/>
    <w:rsid w:val="004D4F29"/>
    <w:pPr>
      <w:spacing w:after="0"/>
    </w:pPr>
    <w:rPr>
      <w:rFonts w:ascii="Times New Roman" w:eastAsia="Times New Roman" w:hAnsi="Times New Roman" w:cs="Times New Roman"/>
      <w:b/>
      <w:bCs/>
    </w:rPr>
  </w:style>
  <w:style w:type="character" w:customStyle="1" w:styleId="KommentarthemaZchn">
    <w:name w:val="Kommentarthema Zchn"/>
    <w:basedOn w:val="KommentartextZchn"/>
    <w:link w:val="Kommentarthema"/>
    <w:uiPriority w:val="99"/>
    <w:semiHidden/>
    <w:rsid w:val="004D4F29"/>
    <w:rPr>
      <w:rFonts w:ascii="Times New Roman" w:eastAsia="Times New Roman" w:hAnsi="Times New Roman" w:cs="Times New Roman"/>
      <w:b/>
      <w:bCs/>
      <w:sz w:val="20"/>
      <w:szCs w:val="20"/>
    </w:rPr>
  </w:style>
  <w:style w:type="paragraph" w:customStyle="1" w:styleId="SMText">
    <w:name w:val="SM Text"/>
    <w:basedOn w:val="Standard"/>
    <w:qFormat/>
    <w:rsid w:val="000550F5"/>
    <w:pPr>
      <w:ind w:firstLine="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Andreas.Winkler@TUGraz.a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14734-11D2-4941-9A4F-5F1466A45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659</Words>
  <Characters>3758</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geoffrey</dc:creator>
  <cp:lastModifiedBy>geoffrey</cp:lastModifiedBy>
  <cp:revision>3</cp:revision>
  <cp:lastPrinted>2018-05-11T07:56:00Z</cp:lastPrinted>
  <dcterms:created xsi:type="dcterms:W3CDTF">2018-05-14T07:56:00Z</dcterms:created>
  <dcterms:modified xsi:type="dcterms:W3CDTF">2018-05-14T07:56:00Z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zotero-version="5.0.47"&gt;&lt;session id="mo0ON7ET"/&gt;&lt;style id="http://www.zotero.org/styles/nature" hasBibliography="1" bibliographyStyleHasBeenSet="1"/&gt;&lt;prefs&gt;&lt;pref name="fieldType" value="Field"/&gt;&lt;pref name="automaticJournalAbbreviati</vt:lpwstr>
  </property>
  <property fmtid="{D5CDD505-2E9C-101B-9397-08002B2CF9AE}" pid="3" name="ZOTERO_PREF_2">
    <vt:lpwstr>ons" value="true"/&gt;&lt;/prefs&gt;&lt;/data&gt;</vt:lpwstr>
  </property>
</Properties>
</file>