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5D" w:rsidRDefault="00B10F5D" w:rsidP="00B10F5D">
      <w:pPr>
        <w:pStyle w:val="Heading2"/>
      </w:pPr>
      <w:r>
        <w:t>Supp. File</w:t>
      </w:r>
      <w:bookmarkStart w:id="0" w:name="_GoBack"/>
      <w:bookmarkEnd w:id="0"/>
      <w:r>
        <w:t xml:space="preserve"> 2</w:t>
      </w:r>
      <w:r w:rsidRPr="00DC1DA2">
        <w:t xml:space="preserve">. </w:t>
      </w:r>
      <w:r>
        <w:t>Transgenes used in this study</w:t>
      </w:r>
      <w:r w:rsidRPr="00DC1DA2">
        <w:t xml:space="preserve"> </w:t>
      </w:r>
    </w:p>
    <w:p w:rsidR="00B10F5D" w:rsidRPr="002B3279" w:rsidRDefault="00B10F5D" w:rsidP="00B10F5D">
      <w:pPr>
        <w:spacing w:after="200"/>
        <w:rPr>
          <w:b/>
        </w:rPr>
      </w:pPr>
      <w:r>
        <w:rPr>
          <w:b/>
        </w:rPr>
        <w:t>Integrated:</w:t>
      </w:r>
      <w:r w:rsidRPr="00080A77">
        <w:rPr>
          <w:rFonts w:eastAsia="Times New Roman"/>
        </w:rPr>
        <w:t xml:space="preserve">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908"/>
        <w:gridCol w:w="4636"/>
        <w:gridCol w:w="2924"/>
      </w:tblGrid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Default="00B10F5D" w:rsidP="00E040ED">
            <w:pPr>
              <w:pStyle w:val="NoSpacing"/>
            </w:pPr>
            <w:r>
              <w:rPr>
                <w:rStyle w:val="Strong"/>
              </w:rPr>
              <w:t>Allele(s)</w:t>
            </w:r>
          </w:p>
        </w:tc>
        <w:tc>
          <w:tcPr>
            <w:tcW w:w="4636" w:type="dxa"/>
            <w:vAlign w:val="center"/>
          </w:tcPr>
          <w:p w:rsidR="00B10F5D" w:rsidRDefault="00B10F5D" w:rsidP="00E040ED">
            <w:pPr>
              <w:pStyle w:val="NoSpacing"/>
            </w:pPr>
            <w:r>
              <w:rPr>
                <w:rStyle w:val="Strong"/>
              </w:rPr>
              <w:t>Constructs</w:t>
            </w:r>
          </w:p>
        </w:tc>
        <w:tc>
          <w:tcPr>
            <w:tcW w:w="2924" w:type="dxa"/>
            <w:vAlign w:val="center"/>
          </w:tcPr>
          <w:p w:rsidR="00B10F5D" w:rsidRDefault="00B10F5D" w:rsidP="00E040ED">
            <w:pPr>
              <w:pStyle w:val="NoSpacing"/>
            </w:pPr>
            <w:r>
              <w:rPr>
                <w:rStyle w:val="Strong"/>
              </w:rPr>
              <w:t>References and Notes</w:t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hdIs26III</w:t>
            </w:r>
          </w:p>
        </w:tc>
        <w:tc>
          <w:tcPr>
            <w:tcW w:w="4636" w:type="dxa"/>
            <w:vAlign w:val="center"/>
          </w:tcPr>
          <w:p w:rsidR="00B10F5D" w:rsidRPr="00DB0D7B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DB0D7B">
              <w:rPr>
                <w:i/>
                <w:color w:val="000000"/>
                <w:lang w:eastAsia="en-US"/>
              </w:rPr>
              <w:t>odr-2</w:t>
            </w:r>
            <w:r w:rsidRPr="00DB0D7B">
              <w:rPr>
                <w:color w:val="000000"/>
                <w:lang w:eastAsia="en-US"/>
              </w:rPr>
              <w:t xml:space="preserve">pro:CFP, </w:t>
            </w:r>
            <w:r w:rsidRPr="00DB0D7B">
              <w:rPr>
                <w:i/>
                <w:color w:val="000000"/>
                <w:lang w:eastAsia="en-US"/>
              </w:rPr>
              <w:t>sra-6</w:t>
            </w:r>
            <w:r w:rsidRPr="00DB0D7B">
              <w:rPr>
                <w:color w:val="000000"/>
                <w:lang w:eastAsia="en-US"/>
              </w:rPr>
              <w:t>pro:DsRed2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BEC{Steimel et al., 2010, #44678}</w:instrText>
            </w:r>
            <w:r>
              <w:fldChar w:fldCharType="separate"/>
            </w:r>
            <w:r>
              <w:t>(Steimel et al., 2010)</w:t>
            </w:r>
            <w:r>
              <w:fldChar w:fldCharType="end"/>
            </w:r>
            <w:r>
              <w:rPr>
                <w:rFonts w:eastAsia="Times New Roman"/>
              </w:rPr>
              <w:t xml:space="preserve"> </w:t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hmnIs17 V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pCY31, pMH130, pMH91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  <w:i/>
              </w:rPr>
            </w:pPr>
            <w:r>
              <w:rPr>
                <w:i/>
              </w:rPr>
              <w:t>hmnIs23 III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pCY30, pDPMM051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kyIs4 X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ceh-23</w:t>
            </w:r>
            <w:r>
              <w:rPr>
                <w:color w:val="000000"/>
                <w:lang w:eastAsia="en-US"/>
              </w:rPr>
              <w:t>pro:GFP</w:t>
            </w:r>
            <w:r w:rsidRPr="00E82772">
              <w:rPr>
                <w:color w:val="000000"/>
                <w:lang w:eastAsia="en-US"/>
              </w:rPr>
              <w:t xml:space="preserve">, </w:t>
            </w:r>
            <w:r>
              <w:rPr>
                <w:i/>
                <w:color w:val="000000"/>
                <w:lang w:eastAsia="en-US"/>
              </w:rPr>
              <w:t>lin-15(+)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BEC{Zallen et al., 1999, #51706}</w:instrText>
            </w:r>
            <w:r>
              <w:fldChar w:fldCharType="separate"/>
            </w:r>
            <w:r>
              <w:t>(Zallen et al., 1999)</w:t>
            </w:r>
            <w:r>
              <w:fldChar w:fldCharType="end"/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kyIs235 V</w:t>
            </w:r>
          </w:p>
        </w:tc>
        <w:tc>
          <w:tcPr>
            <w:tcW w:w="4636" w:type="dxa"/>
            <w:vAlign w:val="center"/>
          </w:tcPr>
          <w:p w:rsidR="00B10F5D" w:rsidRPr="007C1599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odr-1</w:t>
            </w:r>
            <w:r>
              <w:rPr>
                <w:color w:val="000000"/>
                <w:lang w:eastAsia="en-US"/>
              </w:rPr>
              <w:t>pro:RFP,</w:t>
            </w:r>
            <w:r w:rsidRPr="00E82772">
              <w:rPr>
                <w:color w:val="000000"/>
                <w:lang w:eastAsia="en-US"/>
              </w:rPr>
              <w:t xml:space="preserve"> </w:t>
            </w:r>
            <w:r>
              <w:rPr>
                <w:i/>
                <w:color w:val="000000"/>
                <w:lang w:eastAsia="en-US"/>
              </w:rPr>
              <w:t>unc-86</w:t>
            </w:r>
            <w:r>
              <w:rPr>
                <w:color w:val="000000"/>
                <w:lang w:eastAsia="en-US"/>
              </w:rPr>
              <w:t>pro:VAMP-YFP,</w:t>
            </w:r>
            <w:r w:rsidRPr="00E82772">
              <w:rPr>
                <w:color w:val="000000"/>
                <w:lang w:eastAsia="en-US"/>
              </w:rPr>
              <w:t xml:space="preserve"> </w:t>
            </w:r>
            <w:r>
              <w:rPr>
                <w:i/>
                <w:color w:val="000000"/>
                <w:lang w:eastAsia="en-US"/>
              </w:rPr>
              <w:t>unc-4</w:t>
            </w:r>
            <w:r>
              <w:rPr>
                <w:color w:val="000000"/>
                <w:lang w:eastAsia="en-US"/>
              </w:rPr>
              <w:t>pro:</w:t>
            </w:r>
            <w:r>
              <w:rPr>
                <w:i/>
                <w:color w:val="000000"/>
                <w:lang w:eastAsia="en-US"/>
              </w:rPr>
              <w:t>lin-10</w:t>
            </w:r>
            <w:r>
              <w:rPr>
                <w:color w:val="000000"/>
                <w:lang w:eastAsia="en-US"/>
              </w:rPr>
              <w:t>-RFP intron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BEC{Shen and Bargmann, 2003, #65776}</w:instrText>
            </w:r>
            <w:r>
              <w:fldChar w:fldCharType="separate"/>
            </w:r>
            <w:r>
              <w:t>(Shen and Bargmann, 2003)</w:t>
            </w:r>
            <w:r>
              <w:fldChar w:fldCharType="end"/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rhIs4 III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i/>
                <w:color w:val="000000"/>
                <w:lang w:eastAsia="en-US"/>
              </w:rPr>
              <w:t>glr-1</w:t>
            </w:r>
            <w:r>
              <w:rPr>
                <w:color w:val="000000"/>
                <w:lang w:eastAsia="en-US"/>
              </w:rPr>
              <w:t>pro:GFP</w:t>
            </w:r>
            <w:r w:rsidRPr="00E82772">
              <w:rPr>
                <w:color w:val="000000"/>
                <w:lang w:eastAsia="en-US"/>
              </w:rPr>
              <w:t xml:space="preserve">, </w:t>
            </w:r>
            <w:r>
              <w:rPr>
                <w:i/>
                <w:color w:val="000000"/>
                <w:lang w:eastAsia="en-US"/>
              </w:rPr>
              <w:t>dpy-20(+)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BEC{Schmitz et al., 2008, #62144; Steimel et al., 2010, #44678}</w:instrText>
            </w:r>
            <w:r>
              <w:fldChar w:fldCharType="separate"/>
            </w:r>
            <w:r>
              <w:t>(Schmitz et al., 2008; Steimel et al., 2010)</w:t>
            </w:r>
            <w:r>
              <w:fldChar w:fldCharType="end"/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trIs78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pPRGS698, pPRGS699, pPRGS382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BEC{Maro et al., 2015, #16725}</w:instrText>
            </w:r>
            <w:r>
              <w:fldChar w:fldCharType="separate"/>
            </w:r>
            <w:r>
              <w:t>(Maro et al., 2015)</w:t>
            </w:r>
            <w:r>
              <w:fldChar w:fldCharType="end"/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wyIs378 III</w:t>
            </w:r>
          </w:p>
        </w:tc>
        <w:tc>
          <w:tcPr>
            <w:tcW w:w="4636" w:type="dxa"/>
            <w:vAlign w:val="center"/>
          </w:tcPr>
          <w:p w:rsidR="00B10F5D" w:rsidRPr="00DB0D7B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DB0D7B">
              <w:rPr>
                <w:color w:val="000000"/>
                <w:lang w:eastAsia="en-US"/>
              </w:rPr>
              <w:t xml:space="preserve">pOL020, pOL090, </w:t>
            </w:r>
            <w:r w:rsidRPr="00DB0D7B">
              <w:rPr>
                <w:i/>
                <w:color w:val="000000"/>
                <w:lang w:eastAsia="en-US"/>
              </w:rPr>
              <w:t>odr-1</w:t>
            </w:r>
            <w:r w:rsidRPr="00DB0D7B">
              <w:rPr>
                <w:color w:val="000000"/>
                <w:lang w:eastAsia="en-US"/>
              </w:rPr>
              <w:t>pro:RFP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pPr>
              <w:rPr>
                <w:highlight w:val="green"/>
              </w:rPr>
            </w:pPr>
            <w:r>
              <w:fldChar w:fldCharType="begin"/>
            </w:r>
            <w:r>
              <w:instrText>ADDIN BEC{Liu and Shen, 2011, #55788}</w:instrText>
            </w:r>
            <w:r>
              <w:fldChar w:fldCharType="separate"/>
            </w:r>
            <w:r>
              <w:t>(Liu and Shen, 2011)</w:t>
            </w:r>
            <w:r>
              <w:fldChar w:fldCharType="end"/>
            </w:r>
          </w:p>
        </w:tc>
      </w:tr>
      <w:tr w:rsidR="00B10F5D" w:rsidTr="00B10F5D">
        <w:trPr>
          <w:trHeight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wyIs592 III</w:t>
            </w:r>
          </w:p>
        </w:tc>
        <w:tc>
          <w:tcPr>
            <w:tcW w:w="4636" w:type="dxa"/>
            <w:vAlign w:val="center"/>
          </w:tcPr>
          <w:p w:rsidR="00B10F5D" w:rsidRPr="006F1AB4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 xml:space="preserve">pOL020, </w:t>
            </w:r>
            <w:r>
              <w:rPr>
                <w:i/>
                <w:color w:val="000000"/>
                <w:lang w:eastAsia="en-US"/>
              </w:rPr>
              <w:t>odr-1</w:t>
            </w:r>
            <w:r>
              <w:rPr>
                <w:color w:val="000000"/>
                <w:lang w:eastAsia="en-US"/>
              </w:rPr>
              <w:t>pro:RFP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BEC{Dong et al., 2013, #91130}</w:instrText>
            </w:r>
            <w:r>
              <w:fldChar w:fldCharType="separate"/>
            </w:r>
            <w:r>
              <w:t>(Dong et al., 2013)</w:t>
            </w:r>
            <w:r>
              <w:fldChar w:fldCharType="end"/>
            </w:r>
          </w:p>
        </w:tc>
      </w:tr>
    </w:tbl>
    <w:p w:rsidR="00B10F5D" w:rsidRDefault="00B10F5D" w:rsidP="00B10F5D">
      <w:pPr>
        <w:spacing w:after="200"/>
      </w:pPr>
    </w:p>
    <w:p w:rsidR="00B10F5D" w:rsidRPr="00D44A00" w:rsidRDefault="00B10F5D" w:rsidP="00B10F5D">
      <w:pPr>
        <w:spacing w:after="200"/>
        <w:rPr>
          <w:b/>
        </w:rPr>
      </w:pPr>
      <w:r>
        <w:rPr>
          <w:b/>
        </w:rPr>
        <w:t>Extrachromosomal: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908"/>
        <w:gridCol w:w="4636"/>
        <w:gridCol w:w="2924"/>
      </w:tblGrid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Default="00B10F5D" w:rsidP="00E040ED">
            <w:pPr>
              <w:pStyle w:val="NoSpacing"/>
            </w:pPr>
            <w:r>
              <w:rPr>
                <w:rStyle w:val="Strong"/>
              </w:rPr>
              <w:t>Allele(s)</w:t>
            </w:r>
          </w:p>
        </w:tc>
        <w:tc>
          <w:tcPr>
            <w:tcW w:w="4636" w:type="dxa"/>
            <w:vAlign w:val="center"/>
          </w:tcPr>
          <w:p w:rsidR="00B10F5D" w:rsidRDefault="00B10F5D" w:rsidP="00E040ED">
            <w:pPr>
              <w:pStyle w:val="NoSpacing"/>
            </w:pPr>
            <w:r>
              <w:rPr>
                <w:rStyle w:val="Strong"/>
              </w:rPr>
              <w:t>Constructs</w:t>
            </w:r>
          </w:p>
        </w:tc>
        <w:tc>
          <w:tcPr>
            <w:tcW w:w="2924" w:type="dxa"/>
            <w:vAlign w:val="center"/>
          </w:tcPr>
          <w:p w:rsidR="00B10F5D" w:rsidRDefault="00B10F5D" w:rsidP="00E040ED">
            <w:pPr>
              <w:pStyle w:val="NoSpacing"/>
            </w:pPr>
            <w:r>
              <w:rPr>
                <w:rStyle w:val="Strong"/>
              </w:rPr>
              <w:t>References and Notes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cgEx308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pJK600</w:t>
            </w:r>
            <w:r>
              <w:rPr>
                <w:color w:val="000000"/>
                <w:lang w:eastAsia="en-US"/>
              </w:rPr>
              <w:t>,</w:t>
            </w:r>
            <w:r w:rsidRPr="00E82772">
              <w:rPr>
                <w:color w:val="000000"/>
                <w:lang w:eastAsia="en-US"/>
              </w:rPr>
              <w:t xml:space="preserve"> pJK602</w:t>
            </w:r>
            <w:r>
              <w:rPr>
                <w:color w:val="000000"/>
                <w:lang w:eastAsia="en-US"/>
              </w:rPr>
              <w:t>,</w:t>
            </w:r>
            <w:r w:rsidRPr="00E82772">
              <w:rPr>
                <w:color w:val="000000"/>
                <w:lang w:eastAsia="en-US"/>
              </w:rPr>
              <w:t xml:space="preserve"> p</w:t>
            </w:r>
            <w:r>
              <w:rPr>
                <w:color w:val="000000"/>
                <w:lang w:eastAsia="en-US"/>
              </w:rPr>
              <w:t>RF4</w:t>
            </w:r>
          </w:p>
        </w:tc>
        <w:tc>
          <w:tcPr>
            <w:tcW w:w="2924" w:type="dxa"/>
            <w:vAlign w:val="center"/>
          </w:tcPr>
          <w:p w:rsidR="00B10F5D" w:rsidRPr="00817492" w:rsidRDefault="00B10F5D" w:rsidP="00E040ED">
            <w:pPr>
              <w:pStyle w:val="NoSpacing"/>
              <w:rPr>
                <w:b/>
                <w:color w:val="F79646" w:themeColor="accent6"/>
              </w:rPr>
            </w:pPr>
            <w:r>
              <w:fldChar w:fldCharType="begin"/>
            </w:r>
            <w:r>
              <w:instrText>ADDIN BEC{Johnson et al., 2006, #27078}</w:instrText>
            </w:r>
            <w:r>
              <w:fldChar w:fldCharType="separate"/>
            </w:r>
            <w:r>
              <w:t>(Johnson et al., 2006)</w:t>
            </w:r>
            <w:r>
              <w:fldChar w:fldCharType="end"/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hmnEx598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pCY13, pCY14,</w:t>
            </w:r>
            <w:r w:rsidRPr="00E82772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pMH91, </w:t>
            </w:r>
            <w:r w:rsidRPr="00E82772">
              <w:rPr>
                <w:color w:val="000000"/>
                <w:lang w:eastAsia="en-US"/>
              </w:rPr>
              <w:t>pMH130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hmnEx912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pCY74, pCY134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hmnEx1021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pCY74</w:t>
            </w:r>
            <w:r w:rsidRPr="00E82772">
              <w:rPr>
                <w:color w:val="000000"/>
                <w:lang w:eastAsia="en-US"/>
              </w:rPr>
              <w:t>, pCY152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 w:rsidRPr="00A54B46">
              <w:rPr>
                <w:i/>
              </w:rPr>
              <w:t>hmnEx1234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pBS, pCY167</w:t>
            </w:r>
            <w:r w:rsidRPr="00E82772">
              <w:rPr>
                <w:color w:val="000000"/>
                <w:lang w:eastAsia="en-US"/>
              </w:rPr>
              <w:t xml:space="preserve">, pCY168, pIL53 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>
              <w:rPr>
                <w:i/>
              </w:rPr>
              <w:t>hmnEx1291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pBS, pCY168, pCY190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 w:rsidRPr="00A54B46">
              <w:rPr>
                <w:i/>
              </w:rPr>
              <w:t>hmnEx1328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pCY50</w:t>
            </w:r>
            <w:r>
              <w:rPr>
                <w:color w:val="000000"/>
                <w:lang w:eastAsia="en-US"/>
              </w:rPr>
              <w:t xml:space="preserve">, </w:t>
            </w:r>
            <w:r w:rsidRPr="00E82772">
              <w:rPr>
                <w:color w:val="000000"/>
                <w:lang w:eastAsia="en-US"/>
              </w:rPr>
              <w:t>pCY56, pCY168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A54B46" w:rsidRDefault="00B10F5D" w:rsidP="00E040ED">
            <w:pPr>
              <w:pStyle w:val="NoSpacing"/>
              <w:rPr>
                <w:i/>
              </w:rPr>
            </w:pPr>
            <w:r>
              <w:rPr>
                <w:i/>
              </w:rPr>
              <w:t>hmnEx1416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pCY118, pCY168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2B3279" w:rsidRDefault="00B10F5D" w:rsidP="00E040ED">
            <w:pPr>
              <w:pStyle w:val="NoSpacing"/>
              <w:rPr>
                <w:b/>
              </w:rPr>
            </w:pPr>
            <w:r w:rsidRPr="00A54B46">
              <w:rPr>
                <w:i/>
              </w:rPr>
              <w:t>hmnEx1486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 w:rsidRPr="00E82772">
              <w:rPr>
                <w:color w:val="000000"/>
                <w:lang w:eastAsia="en-US"/>
              </w:rPr>
              <w:t>pCY30, pCY168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 w:rsidRPr="008F12B3">
              <w:t>This study</w:t>
            </w:r>
          </w:p>
        </w:tc>
      </w:tr>
      <w:tr w:rsidR="00B10F5D" w:rsidTr="00B10F5D">
        <w:trPr>
          <w:trHeight w:hRule="exact" w:val="360"/>
        </w:trPr>
        <w:tc>
          <w:tcPr>
            <w:tcW w:w="1908" w:type="dxa"/>
            <w:vAlign w:val="center"/>
          </w:tcPr>
          <w:p w:rsidR="00B10F5D" w:rsidRPr="00A54B46" w:rsidRDefault="00B10F5D" w:rsidP="00E040ED">
            <w:pPr>
              <w:pStyle w:val="NoSpacing"/>
              <w:rPr>
                <w:i/>
              </w:rPr>
            </w:pPr>
            <w:r>
              <w:rPr>
                <w:i/>
              </w:rPr>
              <w:t>hmnEx1746</w:t>
            </w:r>
          </w:p>
        </w:tc>
        <w:tc>
          <w:tcPr>
            <w:tcW w:w="4636" w:type="dxa"/>
            <w:vAlign w:val="center"/>
          </w:tcPr>
          <w:p w:rsidR="00B10F5D" w:rsidRPr="00E82772" w:rsidRDefault="00B10F5D" w:rsidP="00E040E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textAlignment w:val="baseline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pCY191, pCY168</w:t>
            </w:r>
          </w:p>
        </w:tc>
        <w:tc>
          <w:tcPr>
            <w:tcW w:w="2924" w:type="dxa"/>
            <w:vAlign w:val="center"/>
          </w:tcPr>
          <w:p w:rsidR="00B10F5D" w:rsidRPr="008F12B3" w:rsidRDefault="00B10F5D" w:rsidP="00E040ED">
            <w:r>
              <w:t>This study</w:t>
            </w:r>
          </w:p>
        </w:tc>
      </w:tr>
    </w:tbl>
    <w:p w:rsidR="006B4B66" w:rsidRDefault="00B10F5D"/>
    <w:sectPr w:rsidR="006B4B66" w:rsidSect="006B4B66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5D"/>
    <w:rsid w:val="00B10F5D"/>
    <w:rsid w:val="00E8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781057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F5D"/>
    <w:rPr>
      <w:rFonts w:cstheme="min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F5D"/>
    <w:pPr>
      <w:keepNext/>
      <w:keepLines/>
      <w:spacing w:line="48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F5D"/>
    <w:rPr>
      <w:rFonts w:eastAsiaTheme="majorEastAsia" w:cstheme="majorBidi"/>
      <w:b/>
      <w:bCs/>
      <w:color w:val="000000" w:themeColor="text1"/>
      <w:sz w:val="24"/>
      <w:szCs w:val="26"/>
    </w:rPr>
  </w:style>
  <w:style w:type="character" w:styleId="Strong">
    <w:name w:val="Strong"/>
    <w:basedOn w:val="DefaultParagraphFont"/>
    <w:uiPriority w:val="22"/>
    <w:qFormat/>
    <w:rsid w:val="00B10F5D"/>
    <w:rPr>
      <w:b/>
      <w:bCs/>
    </w:rPr>
  </w:style>
  <w:style w:type="paragraph" w:styleId="NoSpacing">
    <w:name w:val="No Spacing"/>
    <w:uiPriority w:val="1"/>
    <w:qFormat/>
    <w:rsid w:val="00B10F5D"/>
    <w:rPr>
      <w:rFonts w:cstheme="min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F5D"/>
    <w:rPr>
      <w:rFonts w:cstheme="minorBid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0F5D"/>
    <w:pPr>
      <w:keepNext/>
      <w:keepLines/>
      <w:spacing w:line="48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10F5D"/>
    <w:rPr>
      <w:rFonts w:eastAsiaTheme="majorEastAsia" w:cstheme="majorBidi"/>
      <w:b/>
      <w:bCs/>
      <w:color w:val="000000" w:themeColor="text1"/>
      <w:sz w:val="24"/>
      <w:szCs w:val="26"/>
    </w:rPr>
  </w:style>
  <w:style w:type="character" w:styleId="Strong">
    <w:name w:val="Strong"/>
    <w:basedOn w:val="DefaultParagraphFont"/>
    <w:uiPriority w:val="22"/>
    <w:qFormat/>
    <w:rsid w:val="00B10F5D"/>
    <w:rPr>
      <w:b/>
      <w:bCs/>
    </w:rPr>
  </w:style>
  <w:style w:type="paragraph" w:styleId="NoSpacing">
    <w:name w:val="No Spacing"/>
    <w:uiPriority w:val="1"/>
    <w:qFormat/>
    <w:rsid w:val="00B10F5D"/>
    <w:rPr>
      <w:rFonts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Macintosh Word</Application>
  <DocSecurity>0</DocSecurity>
  <Lines>10</Lines>
  <Paragraphs>2</Paragraphs>
  <ScaleCrop>false</ScaleCrop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Heiman</dc:creator>
  <cp:keywords/>
  <dc:description/>
  <cp:lastModifiedBy>Max Heiman</cp:lastModifiedBy>
  <cp:revision>1</cp:revision>
  <dcterms:created xsi:type="dcterms:W3CDTF">2018-07-11T14:38:00Z</dcterms:created>
  <dcterms:modified xsi:type="dcterms:W3CDTF">2018-07-11T14:41:00Z</dcterms:modified>
</cp:coreProperties>
</file>