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130EB" w14:textId="5B5F5326" w:rsidR="00D40477" w:rsidRDefault="000014DE" w:rsidP="002C49AD">
      <w:pPr>
        <w:pStyle w:val="Heading1"/>
      </w:pPr>
      <w:bookmarkStart w:id="0" w:name="_Toc514950625"/>
      <w:bookmarkStart w:id="1" w:name="_GoBack"/>
      <w:bookmarkEnd w:id="1"/>
      <w:r>
        <w:t xml:space="preserve">Appendix </w:t>
      </w:r>
      <w:r w:rsidR="00D40477">
        <w:t>1</w:t>
      </w:r>
    </w:p>
    <w:p w14:paraId="4ADA2DBA" w14:textId="59F36487" w:rsidR="002C49AD" w:rsidRDefault="002C49AD" w:rsidP="002C49AD">
      <w:pPr>
        <w:pStyle w:val="Heading1"/>
      </w:pPr>
      <w:r>
        <w:t>Detailed description of the models</w:t>
      </w:r>
      <w:bookmarkEnd w:id="0"/>
      <w:r>
        <w:t xml:space="preserve"> </w:t>
      </w:r>
    </w:p>
    <w:p w14:paraId="69647432" w14:textId="77777777" w:rsidR="002C49AD" w:rsidRPr="002C49AD" w:rsidRDefault="002C49AD" w:rsidP="002C49AD"/>
    <w:p w14:paraId="08F6A71F" w14:textId="0D86E10E" w:rsidR="009E2BBC" w:rsidRDefault="00C45613" w:rsidP="002C49AD">
      <w:pPr>
        <w:pStyle w:val="Heading2"/>
      </w:pPr>
      <w:bookmarkStart w:id="2" w:name="_Toc514950626"/>
      <w:r w:rsidRPr="009E2BBC">
        <w:t>Anti-parasite immunity</w:t>
      </w:r>
      <w:bookmarkEnd w:id="2"/>
    </w:p>
    <w:p w14:paraId="4DCA843F" w14:textId="77777777" w:rsidR="002C49AD" w:rsidRDefault="002C49AD" w:rsidP="002C49AD">
      <w:pPr>
        <w:rPr>
          <w:b/>
        </w:rPr>
      </w:pPr>
    </w:p>
    <w:p w14:paraId="7A031764" w14:textId="63A55D26" w:rsidR="002C49AD" w:rsidRPr="002C49AD" w:rsidRDefault="002C49AD" w:rsidP="002C49AD">
      <w:pPr>
        <w:rPr>
          <w:b/>
        </w:rPr>
      </w:pPr>
      <w:r w:rsidRPr="002C49AD">
        <w:rPr>
          <w:b/>
        </w:rPr>
        <w:t>Models</w:t>
      </w:r>
    </w:p>
    <w:p w14:paraId="4092A3CA" w14:textId="655E95CF" w:rsidR="00C45613" w:rsidRDefault="00C45613" w:rsidP="002C49AD">
      <w:r>
        <w:t>To explore the association between age, exposure (</w:t>
      </w:r>
      <w:proofErr w:type="spellStart"/>
      <w:r>
        <w:t>aEIR</w:t>
      </w:r>
      <w:proofErr w:type="spellEnd"/>
      <w:r>
        <w:t>) and parasite density upon infection, we fit the following models.</w:t>
      </w:r>
    </w:p>
    <w:p w14:paraId="71E1253D" w14:textId="77777777" w:rsidR="00C45613" w:rsidRDefault="00C45613" w:rsidP="00AD239C">
      <w:pPr>
        <w:pStyle w:val="ListParagraph"/>
      </w:pPr>
    </w:p>
    <w:p w14:paraId="5B3CA613" w14:textId="078CC95C" w:rsidR="009E2BBC" w:rsidRDefault="00C45613" w:rsidP="002C49AD">
      <w:pPr>
        <w:pStyle w:val="ListParagraph"/>
        <w:spacing w:line="480" w:lineRule="auto"/>
        <w:ind w:left="0"/>
      </w:pPr>
      <w:r>
        <w:t>AP1</w:t>
      </w:r>
      <w:r w:rsidR="009E2BBC">
        <w:t xml:space="preserve">: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(Parasite density)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</w:p>
    <w:p w14:paraId="2DABC8D5" w14:textId="3A868828" w:rsidR="009E2BBC" w:rsidRDefault="009E2BBC" w:rsidP="002C49AD">
      <w:pPr>
        <w:pStyle w:val="ListParagraph"/>
        <w:spacing w:line="480" w:lineRule="auto"/>
        <w:ind w:left="0"/>
      </w:pPr>
      <w:r>
        <w:t xml:space="preserve">AP2: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(Parasite density)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)+ f(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</w:p>
    <w:p w14:paraId="7D3FD2A4" w14:textId="28B69B8F" w:rsidR="00896AA6" w:rsidRDefault="00896AA6" w:rsidP="002C49AD">
      <w:pPr>
        <w:pStyle w:val="ListParagraph"/>
        <w:spacing w:line="480" w:lineRule="auto"/>
        <w:ind w:left="0"/>
      </w:pPr>
      <w:r>
        <w:t xml:space="preserve">AP3: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(Parasite density)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</m:t>
            </m:r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</w:p>
    <w:p w14:paraId="3910D2A5" w14:textId="56223C2C" w:rsidR="009E2BBC" w:rsidRDefault="009E2BBC" w:rsidP="002C49AD">
      <w:pPr>
        <w:pStyle w:val="ListParagraph"/>
        <w:spacing w:line="480" w:lineRule="auto"/>
        <w:ind w:left="0"/>
      </w:pPr>
      <w:r>
        <w:t>AP</w:t>
      </w:r>
      <w:r w:rsidR="00896AA6">
        <w:t>4</w:t>
      </w:r>
      <w:r>
        <w:t xml:space="preserve">: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(Parasite density)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) 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50CD104F" w14:textId="7685D91A" w:rsidR="009E2BBC" w:rsidRDefault="009E2BBC" w:rsidP="002C49AD">
      <w:pPr>
        <w:pStyle w:val="ListParagraph"/>
        <w:ind w:left="0"/>
      </w:pPr>
      <w:r>
        <w:t xml:space="preserve">Where </w:t>
      </w:r>
      <w:proofErr w:type="spellStart"/>
      <w:r w:rsidRPr="009E2BBC">
        <w:rPr>
          <w:i/>
        </w:rPr>
        <w:t>i</w:t>
      </w:r>
      <w:proofErr w:type="spellEnd"/>
      <w:r w:rsidRPr="009E2BBC">
        <w:t xml:space="preserve"> </w:t>
      </w:r>
      <w:r>
        <w:t xml:space="preserve">is an index for individuals, </w:t>
      </w:r>
      <w:r w:rsidRPr="009E2BBC">
        <w:rPr>
          <w:i/>
        </w:rPr>
        <w:t>j</w:t>
      </w:r>
      <w:r w:rsidRPr="009E2BBC">
        <w:t xml:space="preserve"> </w:t>
      </w:r>
      <w:r>
        <w:t xml:space="preserve">for households and </w:t>
      </w:r>
      <w:r w:rsidRPr="009E2BBC">
        <w:rPr>
          <w:i/>
        </w:rPr>
        <w:t xml:space="preserve">k </w:t>
      </w:r>
      <w:r>
        <w:t xml:space="preserve">for specific visits. Thus,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</m:oMath>
      <w:r>
        <w:t xml:space="preserve"> represents the age of child </w:t>
      </w:r>
      <w:proofErr w:type="spellStart"/>
      <w:r w:rsidRPr="009E2BBC">
        <w:t>i</w:t>
      </w:r>
      <w:proofErr w:type="spellEnd"/>
      <w:r w:rsidRPr="009E2BBC">
        <w:t xml:space="preserve"> </w:t>
      </w:r>
      <w:r>
        <w:t xml:space="preserve">from household </w:t>
      </w:r>
      <w:r w:rsidRPr="009E2BBC">
        <w:t>j</w:t>
      </w:r>
      <w:r>
        <w:t xml:space="preserve"> during visit </w:t>
      </w:r>
      <w:r w:rsidRPr="009E2BBC">
        <w:t>k,</w:t>
      </w:r>
      <w: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represents the average annual EIR recorded for household </w:t>
      </w:r>
      <w:r w:rsidRPr="001D60DA">
        <w:rPr>
          <w:i/>
        </w:rPr>
        <w:t>j</w:t>
      </w:r>
      <w:r w:rsidRPr="009E2BBC">
        <w:t>.</w:t>
      </w:r>
      <w:r w:rsidR="001D60DA">
        <w:t xml:space="preserve"> </w:t>
      </w:r>
      <w:proofErr w:type="spellStart"/>
      <w:r w:rsidR="00D866D4">
        <w:t>u</w:t>
      </w:r>
      <w:r w:rsidR="00D866D4">
        <w:rPr>
          <w:vertAlign w:val="subscript"/>
        </w:rPr>
        <w:t>i</w:t>
      </w:r>
      <w:proofErr w:type="spellEnd"/>
      <w:r w:rsidR="00D866D4">
        <w:rPr>
          <w:vertAlign w:val="subscript"/>
        </w:rPr>
        <w:t xml:space="preserve"> </w:t>
      </w:r>
      <w:r w:rsidR="00D866D4">
        <w:t xml:space="preserve">and </w:t>
      </w:r>
      <w:r w:rsidR="00D866D4">
        <w:sym w:font="Symbol" w:char="F067"/>
      </w:r>
      <w:r w:rsidR="00D866D4" w:rsidRPr="00212819">
        <w:rPr>
          <w:vertAlign w:val="subscript"/>
        </w:rPr>
        <w:t>j</w:t>
      </w:r>
      <w:r w:rsidR="00D866D4">
        <w:t xml:space="preserve"> denote the individual and household random effects, respectively, assumed to be normally distributed with mean 0. </w:t>
      </w:r>
      <w:r w:rsidR="001D60DA">
        <w:t>Tensor interactions were used for interaction models</w:t>
      </w:r>
      <w:r w:rsidR="00D57DC2">
        <w:t xml:space="preserve"> (AP4)</w:t>
      </w:r>
      <w:r w:rsidR="001D60DA">
        <w:t>.</w:t>
      </w:r>
      <w:r w:rsidR="00C66140">
        <w:t xml:space="preserve"> </w:t>
      </w:r>
    </w:p>
    <w:p w14:paraId="505C148F" w14:textId="77777777" w:rsidR="004B05BC" w:rsidRPr="002C49AD" w:rsidRDefault="004B05BC" w:rsidP="002C49AD">
      <w:pPr>
        <w:rPr>
          <w:b/>
        </w:rPr>
      </w:pPr>
    </w:p>
    <w:p w14:paraId="7EEC5014" w14:textId="77777777" w:rsidR="00495B79" w:rsidRDefault="00495B79" w:rsidP="002C49AD">
      <w:pPr>
        <w:pStyle w:val="ListParagraph"/>
        <w:ind w:left="0"/>
        <w:rPr>
          <w:b/>
        </w:rPr>
      </w:pPr>
    </w:p>
    <w:p w14:paraId="616D126D" w14:textId="1B56801F" w:rsidR="009E2BBC" w:rsidRPr="00B515D6" w:rsidRDefault="000014DE" w:rsidP="00B515D6">
      <w:pPr>
        <w:pStyle w:val="Heading2"/>
      </w:pPr>
      <w:r>
        <w:rPr>
          <w:b/>
        </w:rPr>
        <w:t xml:space="preserve">Appendix 1-Table 1. </w:t>
      </w:r>
      <w:r w:rsidRPr="00B515D6">
        <w:rPr>
          <w:rFonts w:ascii="Times New Roman" w:hAnsi="Times New Roman" w:cs="Times New Roman"/>
          <w:b/>
          <w:color w:val="000000" w:themeColor="text1"/>
          <w:sz w:val="24"/>
        </w:rPr>
        <w:t xml:space="preserve">Anti-parasite immunity </w:t>
      </w:r>
      <w:r w:rsidR="009E2BBC" w:rsidRPr="00B515D6">
        <w:rPr>
          <w:rFonts w:ascii="Times New Roman" w:hAnsi="Times New Roman" w:cs="Times New Roman"/>
          <w:b/>
          <w:color w:val="000000" w:themeColor="text1"/>
          <w:sz w:val="24"/>
        </w:rPr>
        <w:t>Model fit</w:t>
      </w:r>
    </w:p>
    <w:p w14:paraId="65F775BF" w14:textId="77777777" w:rsidR="009E2BBC" w:rsidRPr="00E02CBE" w:rsidRDefault="009E2BBC" w:rsidP="002C49AD">
      <w:pPr>
        <w:pStyle w:val="ListParagraph"/>
        <w:ind w:left="0"/>
      </w:pPr>
    </w:p>
    <w:tbl>
      <w:tblPr>
        <w:tblStyle w:val="TableGrid"/>
        <w:tblpPr w:leftFromText="180" w:rightFromText="180" w:vertAnchor="text" w:horzAnchor="page" w:tblpX="2170" w:tblpY="20"/>
        <w:tblW w:w="0" w:type="auto"/>
        <w:tblLook w:val="04A0" w:firstRow="1" w:lastRow="0" w:firstColumn="1" w:lastColumn="0" w:noHBand="0" w:noVBand="1"/>
      </w:tblPr>
      <w:tblGrid>
        <w:gridCol w:w="1355"/>
        <w:gridCol w:w="1073"/>
        <w:gridCol w:w="1620"/>
        <w:gridCol w:w="1170"/>
      </w:tblGrid>
      <w:tr w:rsidR="002C49AD" w14:paraId="05355BDE" w14:textId="77777777" w:rsidTr="004B05BC">
        <w:tc>
          <w:tcPr>
            <w:tcW w:w="1355" w:type="dxa"/>
          </w:tcPr>
          <w:p w14:paraId="02BDD15E" w14:textId="4A7F7355" w:rsidR="00E80CC8" w:rsidRDefault="00E80CC8" w:rsidP="002C49AD">
            <w:pPr>
              <w:pStyle w:val="ListParagraph"/>
              <w:ind w:left="0"/>
            </w:pPr>
            <w:r>
              <w:t>Model</w:t>
            </w:r>
          </w:p>
        </w:tc>
        <w:tc>
          <w:tcPr>
            <w:tcW w:w="1073" w:type="dxa"/>
          </w:tcPr>
          <w:p w14:paraId="079F169A" w14:textId="4669385F" w:rsidR="00E80CC8" w:rsidRPr="00E80CC8" w:rsidRDefault="00F06A93" w:rsidP="002C49AD">
            <w:pPr>
              <w:pStyle w:val="ListParagraph"/>
              <w:ind w:left="0"/>
            </w:pPr>
            <w:r>
              <w:t>DF</w:t>
            </w:r>
          </w:p>
        </w:tc>
        <w:tc>
          <w:tcPr>
            <w:tcW w:w="1620" w:type="dxa"/>
          </w:tcPr>
          <w:p w14:paraId="4715B7BF" w14:textId="6EA9EABC" w:rsidR="00E80CC8" w:rsidRDefault="00E80CC8" w:rsidP="002C49AD">
            <w:pPr>
              <w:pStyle w:val="ListParagraph"/>
              <w:ind w:left="0"/>
            </w:pPr>
            <w:r>
              <w:t>% Deviance Explained</w:t>
            </w:r>
          </w:p>
        </w:tc>
        <w:tc>
          <w:tcPr>
            <w:tcW w:w="1170" w:type="dxa"/>
          </w:tcPr>
          <w:p w14:paraId="273707DC" w14:textId="25454FC6" w:rsidR="00E80CC8" w:rsidRDefault="00E80CC8" w:rsidP="002C49AD">
            <w:pPr>
              <w:pStyle w:val="ListParagraph"/>
              <w:ind w:left="0"/>
            </w:pPr>
            <w:r>
              <w:t>AIC</w:t>
            </w:r>
          </w:p>
        </w:tc>
      </w:tr>
      <w:tr w:rsidR="002C49AD" w14:paraId="4B904657" w14:textId="77777777" w:rsidTr="004B05BC">
        <w:tc>
          <w:tcPr>
            <w:tcW w:w="1355" w:type="dxa"/>
          </w:tcPr>
          <w:p w14:paraId="6B11F810" w14:textId="2DCF58F0" w:rsidR="00E80CC8" w:rsidRDefault="00E80CC8" w:rsidP="002C49AD">
            <w:pPr>
              <w:pStyle w:val="ListParagraph"/>
              <w:ind w:left="0"/>
            </w:pPr>
            <w:r>
              <w:t>AP1</w:t>
            </w:r>
          </w:p>
        </w:tc>
        <w:tc>
          <w:tcPr>
            <w:tcW w:w="1073" w:type="dxa"/>
          </w:tcPr>
          <w:p w14:paraId="1EE69C41" w14:textId="7A6B556C" w:rsidR="00E80CC8" w:rsidRDefault="000F4E6F" w:rsidP="002C49AD">
            <w:pPr>
              <w:pStyle w:val="ListParagraph"/>
              <w:ind w:left="0"/>
            </w:pPr>
            <w:r>
              <w:t>41</w:t>
            </w:r>
            <w:r w:rsidR="00896AA6">
              <w:t>8</w:t>
            </w:r>
            <w:r>
              <w:t>.7</w:t>
            </w:r>
          </w:p>
        </w:tc>
        <w:tc>
          <w:tcPr>
            <w:tcW w:w="1620" w:type="dxa"/>
          </w:tcPr>
          <w:p w14:paraId="2B66624B" w14:textId="30D90E2F" w:rsidR="00E80CC8" w:rsidRDefault="0042176A" w:rsidP="002C49AD">
            <w:pPr>
              <w:pStyle w:val="ListParagraph"/>
              <w:ind w:left="0"/>
            </w:pPr>
            <w:r>
              <w:t>33.2</w:t>
            </w:r>
          </w:p>
        </w:tc>
        <w:tc>
          <w:tcPr>
            <w:tcW w:w="1170" w:type="dxa"/>
          </w:tcPr>
          <w:p w14:paraId="11D5A10E" w14:textId="2217DFCD" w:rsidR="00E80CC8" w:rsidRDefault="006E5EC4" w:rsidP="002C49AD">
            <w:pPr>
              <w:pStyle w:val="ListParagraph"/>
              <w:ind w:left="0"/>
            </w:pPr>
            <w:r w:rsidRPr="006E5EC4">
              <w:t>14052</w:t>
            </w:r>
          </w:p>
        </w:tc>
      </w:tr>
      <w:tr w:rsidR="002C49AD" w14:paraId="3BBAE023" w14:textId="77777777" w:rsidTr="004B05BC">
        <w:tc>
          <w:tcPr>
            <w:tcW w:w="1355" w:type="dxa"/>
          </w:tcPr>
          <w:p w14:paraId="78E7508B" w14:textId="236C8680" w:rsidR="00E80CC8" w:rsidRDefault="00E80CC8" w:rsidP="002C49AD">
            <w:pPr>
              <w:pStyle w:val="ListParagraph"/>
              <w:ind w:left="0"/>
            </w:pPr>
            <w:r>
              <w:t>AP2</w:t>
            </w:r>
          </w:p>
        </w:tc>
        <w:tc>
          <w:tcPr>
            <w:tcW w:w="1073" w:type="dxa"/>
          </w:tcPr>
          <w:p w14:paraId="3298263B" w14:textId="09C69C72" w:rsidR="00E80CC8" w:rsidRDefault="000F4E6F" w:rsidP="002C49AD">
            <w:pPr>
              <w:pStyle w:val="ListParagraph"/>
              <w:ind w:left="0"/>
            </w:pPr>
            <w:r>
              <w:t>414.2</w:t>
            </w:r>
          </w:p>
        </w:tc>
        <w:tc>
          <w:tcPr>
            <w:tcW w:w="1620" w:type="dxa"/>
          </w:tcPr>
          <w:p w14:paraId="5D09D5A3" w14:textId="0C7BF084" w:rsidR="00E80CC8" w:rsidRDefault="000F4E6F" w:rsidP="002C49AD">
            <w:pPr>
              <w:pStyle w:val="ListParagraph"/>
              <w:ind w:left="0"/>
            </w:pPr>
            <w:r>
              <w:t>33.1</w:t>
            </w:r>
          </w:p>
        </w:tc>
        <w:tc>
          <w:tcPr>
            <w:tcW w:w="1170" w:type="dxa"/>
          </w:tcPr>
          <w:p w14:paraId="5D55B2D8" w14:textId="272689A9" w:rsidR="00E80CC8" w:rsidRDefault="00901432" w:rsidP="002C49AD">
            <w:pPr>
              <w:pStyle w:val="ListParagraph"/>
              <w:ind w:left="0"/>
            </w:pPr>
            <w:r>
              <w:t>14048</w:t>
            </w:r>
          </w:p>
        </w:tc>
      </w:tr>
      <w:tr w:rsidR="00B66404" w14:paraId="40AA3E64" w14:textId="77777777" w:rsidTr="004B05BC">
        <w:tc>
          <w:tcPr>
            <w:tcW w:w="1355" w:type="dxa"/>
          </w:tcPr>
          <w:p w14:paraId="20F57A2D" w14:textId="5E28623C" w:rsidR="00B66404" w:rsidRDefault="00B66404" w:rsidP="002C49AD">
            <w:pPr>
              <w:pStyle w:val="ListParagraph"/>
              <w:ind w:left="0"/>
            </w:pPr>
            <w:r>
              <w:t>AP3</w:t>
            </w:r>
          </w:p>
        </w:tc>
        <w:tc>
          <w:tcPr>
            <w:tcW w:w="1073" w:type="dxa"/>
          </w:tcPr>
          <w:p w14:paraId="045CE432" w14:textId="237DE063" w:rsidR="00B66404" w:rsidRDefault="00B66404" w:rsidP="002C49AD">
            <w:pPr>
              <w:pStyle w:val="ListParagraph"/>
              <w:ind w:left="0"/>
            </w:pPr>
            <w:r>
              <w:t>408</w:t>
            </w:r>
          </w:p>
        </w:tc>
        <w:tc>
          <w:tcPr>
            <w:tcW w:w="1620" w:type="dxa"/>
          </w:tcPr>
          <w:p w14:paraId="7AAB0F74" w14:textId="0EED2AC8" w:rsidR="00B66404" w:rsidRDefault="00B66404" w:rsidP="002C49AD">
            <w:pPr>
              <w:pStyle w:val="ListParagraph"/>
              <w:ind w:left="0"/>
            </w:pPr>
            <w:r>
              <w:t>33</w:t>
            </w:r>
          </w:p>
        </w:tc>
        <w:tc>
          <w:tcPr>
            <w:tcW w:w="1170" w:type="dxa"/>
          </w:tcPr>
          <w:p w14:paraId="0F7CC550" w14:textId="46D3E27E" w:rsidR="00B66404" w:rsidRDefault="00B66404" w:rsidP="00896AA6">
            <w:pPr>
              <w:pStyle w:val="ListParagraph"/>
              <w:ind w:left="0"/>
            </w:pPr>
            <w:r>
              <w:t>14</w:t>
            </w:r>
            <w:r w:rsidR="002C2083">
              <w:t>0</w:t>
            </w:r>
            <w:r>
              <w:t>46</w:t>
            </w:r>
          </w:p>
        </w:tc>
      </w:tr>
      <w:tr w:rsidR="002C49AD" w14:paraId="2E1C747F" w14:textId="77777777" w:rsidTr="004B05BC">
        <w:trPr>
          <w:trHeight w:val="270"/>
        </w:trPr>
        <w:tc>
          <w:tcPr>
            <w:tcW w:w="1355" w:type="dxa"/>
          </w:tcPr>
          <w:p w14:paraId="0B356620" w14:textId="02B91097" w:rsidR="00E80CC8" w:rsidRDefault="00E80CC8" w:rsidP="002C49AD">
            <w:pPr>
              <w:pStyle w:val="ListParagraph"/>
              <w:ind w:left="0"/>
            </w:pPr>
            <w:r>
              <w:t>AP</w:t>
            </w:r>
            <w:r w:rsidR="00B66404">
              <w:t>4</w:t>
            </w:r>
          </w:p>
        </w:tc>
        <w:tc>
          <w:tcPr>
            <w:tcW w:w="1073" w:type="dxa"/>
          </w:tcPr>
          <w:p w14:paraId="1063C1E2" w14:textId="71E40AD6" w:rsidR="00E80CC8" w:rsidRDefault="000F4E6F" w:rsidP="002C49AD">
            <w:pPr>
              <w:pStyle w:val="ListParagraph"/>
              <w:ind w:left="0"/>
            </w:pPr>
            <w:r>
              <w:t>404</w:t>
            </w:r>
          </w:p>
        </w:tc>
        <w:tc>
          <w:tcPr>
            <w:tcW w:w="1620" w:type="dxa"/>
          </w:tcPr>
          <w:p w14:paraId="1A9B9113" w14:textId="1201E171" w:rsidR="00E80CC8" w:rsidRDefault="0042176A" w:rsidP="002C49AD">
            <w:pPr>
              <w:pStyle w:val="ListParagraph"/>
              <w:ind w:left="0"/>
            </w:pPr>
            <w:r>
              <w:t>33</w:t>
            </w:r>
          </w:p>
        </w:tc>
        <w:tc>
          <w:tcPr>
            <w:tcW w:w="1170" w:type="dxa"/>
          </w:tcPr>
          <w:p w14:paraId="5D194943" w14:textId="741DA893" w:rsidR="00E80CC8" w:rsidRDefault="0042176A" w:rsidP="002C49AD">
            <w:pPr>
              <w:pStyle w:val="ListParagraph"/>
              <w:ind w:left="0"/>
            </w:pPr>
            <w:r>
              <w:t>14032</w:t>
            </w:r>
          </w:p>
        </w:tc>
      </w:tr>
    </w:tbl>
    <w:p w14:paraId="19996B08" w14:textId="77777777" w:rsidR="009E2BBC" w:rsidRDefault="009E2BBC" w:rsidP="002C49AD">
      <w:pPr>
        <w:spacing w:line="480" w:lineRule="auto"/>
      </w:pPr>
    </w:p>
    <w:p w14:paraId="60C55EFA" w14:textId="77777777" w:rsidR="009E2BBC" w:rsidRPr="00E02CBE" w:rsidRDefault="009E2BBC" w:rsidP="002C49AD">
      <w:pPr>
        <w:spacing w:line="480" w:lineRule="auto"/>
      </w:pPr>
    </w:p>
    <w:p w14:paraId="0A1F3BA0" w14:textId="77777777" w:rsidR="009E2BBC" w:rsidRDefault="009E2BBC" w:rsidP="002C49AD">
      <w:pPr>
        <w:pStyle w:val="ListParagraph"/>
        <w:ind w:left="0"/>
      </w:pPr>
    </w:p>
    <w:p w14:paraId="09F0583E" w14:textId="77777777" w:rsidR="009E2BBC" w:rsidRDefault="009E2BBC" w:rsidP="002C49AD">
      <w:pPr>
        <w:pStyle w:val="ListParagraph"/>
        <w:ind w:left="0"/>
        <w:rPr>
          <w:b/>
          <w:u w:val="single"/>
        </w:rPr>
      </w:pPr>
    </w:p>
    <w:p w14:paraId="407A0EA0" w14:textId="77777777" w:rsidR="0080621A" w:rsidRDefault="0080621A" w:rsidP="002C49AD">
      <w:pPr>
        <w:pStyle w:val="Heading2"/>
      </w:pPr>
    </w:p>
    <w:p w14:paraId="5EBE49DF" w14:textId="1BE135E2" w:rsidR="009E2BBC" w:rsidRPr="009E2BBC" w:rsidRDefault="009E2BBC" w:rsidP="002C49AD">
      <w:pPr>
        <w:pStyle w:val="Heading2"/>
      </w:pPr>
      <w:bookmarkStart w:id="3" w:name="_Toc514950627"/>
      <w:r w:rsidRPr="009E2BBC">
        <w:t>Anti-</w:t>
      </w:r>
      <w:r>
        <w:t>disease</w:t>
      </w:r>
      <w:r w:rsidRPr="009E2BBC">
        <w:t xml:space="preserve"> immunity</w:t>
      </w:r>
      <w:bookmarkEnd w:id="3"/>
    </w:p>
    <w:p w14:paraId="4524E1D4" w14:textId="77777777" w:rsidR="009E2BBC" w:rsidRDefault="009E2BBC" w:rsidP="002C49AD">
      <w:pPr>
        <w:pStyle w:val="ListParagraph"/>
        <w:ind w:left="0"/>
      </w:pPr>
    </w:p>
    <w:p w14:paraId="7C67580C" w14:textId="6D4035CF" w:rsidR="009E2BBC" w:rsidRPr="009E2BBC" w:rsidRDefault="009E2BBC" w:rsidP="002C49AD">
      <w:pPr>
        <w:pStyle w:val="ListParagraph"/>
        <w:ind w:left="0"/>
        <w:rPr>
          <w:b/>
        </w:rPr>
      </w:pPr>
      <w:r w:rsidRPr="009E2BBC">
        <w:rPr>
          <w:b/>
        </w:rPr>
        <w:t>Models</w:t>
      </w:r>
    </w:p>
    <w:p w14:paraId="23A9BDBF" w14:textId="501C3032" w:rsidR="009E2BBC" w:rsidRDefault="009E2BBC" w:rsidP="002C49AD">
      <w:pPr>
        <w:pStyle w:val="ListParagraph"/>
        <w:ind w:left="0"/>
      </w:pPr>
      <w:r>
        <w:t>To explore the association between age, exposure (</w:t>
      </w:r>
      <w:proofErr w:type="spellStart"/>
      <w:r>
        <w:t>aEIR</w:t>
      </w:r>
      <w:proofErr w:type="spellEnd"/>
      <w:r>
        <w:t>), parasite density and objective temperature, we fit the following models</w:t>
      </w:r>
    </w:p>
    <w:p w14:paraId="41E105C1" w14:textId="77777777" w:rsidR="009E2BBC" w:rsidRDefault="009E2BBC" w:rsidP="002C49AD">
      <w:pPr>
        <w:pStyle w:val="ListParagraph"/>
        <w:ind w:left="0"/>
      </w:pPr>
    </w:p>
    <w:p w14:paraId="70A68DE2" w14:textId="00E67E25" w:rsidR="009E2BBC" w:rsidRDefault="009E2BBC" w:rsidP="002C49AD">
      <w:pPr>
        <w:pStyle w:val="ListParagraph"/>
        <w:spacing w:line="480" w:lineRule="auto"/>
        <w:ind w:left="0"/>
      </w:pPr>
      <w:r>
        <w:t xml:space="preserve">AD1: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Temperature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Parasite density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706D420B" w14:textId="3CC0C64F" w:rsidR="00EE7717" w:rsidRDefault="009E2BBC" w:rsidP="007E1553">
      <w:pPr>
        <w:pStyle w:val="ListParagraph"/>
        <w:spacing w:line="480" w:lineRule="auto"/>
        <w:ind w:left="0" w:right="-630"/>
      </w:pPr>
      <w:r>
        <w:t xml:space="preserve">AD2: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Temperature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=f(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)+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f(Log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f(Log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Parasite density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230D7304" w14:textId="4E838115" w:rsidR="00EE7717" w:rsidRDefault="00EE7717" w:rsidP="00EE7717">
      <w:pPr>
        <w:pStyle w:val="ListParagraph"/>
        <w:spacing w:line="480" w:lineRule="auto"/>
        <w:ind w:left="0"/>
      </w:pPr>
      <w:r>
        <w:lastRenderedPageBreak/>
        <w:t>AD3</w:t>
      </w:r>
      <m:oMath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Temperature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Parasite density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: </w:t>
      </w:r>
    </w:p>
    <w:p w14:paraId="2A8B8560" w14:textId="4588901D" w:rsidR="00EE7717" w:rsidRDefault="00EE7717" w:rsidP="007E1553">
      <w:pPr>
        <w:pStyle w:val="ListParagraph"/>
        <w:spacing w:line="480" w:lineRule="auto"/>
        <w:ind w:left="0" w:right="-630"/>
      </w:pPr>
    </w:p>
    <w:p w14:paraId="23D25625" w14:textId="5B4776E0" w:rsidR="009E2BBC" w:rsidRPr="00E02CBE" w:rsidRDefault="009E2BBC" w:rsidP="007E1553">
      <w:pPr>
        <w:pStyle w:val="ListParagraph"/>
        <w:spacing w:line="480" w:lineRule="auto"/>
        <w:ind w:left="0" w:right="-630"/>
      </w:pPr>
      <w:r>
        <w:t>AD</w:t>
      </w:r>
      <w:r w:rsidR="00EE7717">
        <w:t>4</w:t>
      </w:r>
      <w: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Temperature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P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arasite density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0C475CFA" w14:textId="666CFD63" w:rsidR="002C49AD" w:rsidRDefault="009E2BBC" w:rsidP="002C49AD">
      <w:pPr>
        <w:pStyle w:val="ListParagraph"/>
        <w:ind w:left="0"/>
      </w:pPr>
      <w:r>
        <w:t xml:space="preserve">Where </w:t>
      </w:r>
      <w:proofErr w:type="spellStart"/>
      <w:r w:rsidRPr="009E2BBC">
        <w:rPr>
          <w:i/>
        </w:rPr>
        <w:t>i</w:t>
      </w:r>
      <w:proofErr w:type="spellEnd"/>
      <w:r w:rsidRPr="009E2BBC">
        <w:t xml:space="preserve"> </w:t>
      </w:r>
      <w:r>
        <w:t xml:space="preserve">is an index for individuals, </w:t>
      </w:r>
      <w:r w:rsidRPr="009E2BBC">
        <w:rPr>
          <w:i/>
        </w:rPr>
        <w:t>j</w:t>
      </w:r>
      <w:r w:rsidRPr="009E2BBC">
        <w:t xml:space="preserve"> </w:t>
      </w:r>
      <w:r>
        <w:t xml:space="preserve">for households and </w:t>
      </w:r>
      <w:r w:rsidRPr="009E2BBC">
        <w:rPr>
          <w:i/>
        </w:rPr>
        <w:t xml:space="preserve">k </w:t>
      </w:r>
      <w:r>
        <w:t xml:space="preserve">for specific visits. Thus,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</m:oMath>
      <w:r>
        <w:t xml:space="preserve"> represents the age of child </w:t>
      </w:r>
      <w:proofErr w:type="spellStart"/>
      <w:r w:rsidRPr="009E2BBC">
        <w:t>i</w:t>
      </w:r>
      <w:proofErr w:type="spellEnd"/>
      <w:r w:rsidRPr="009E2BBC">
        <w:t xml:space="preserve"> </w:t>
      </w:r>
      <w:r>
        <w:t xml:space="preserve">from household </w:t>
      </w:r>
      <w:r w:rsidRPr="009E2BBC">
        <w:t>j</w:t>
      </w:r>
      <w:r>
        <w:t xml:space="preserve"> during visit </w:t>
      </w:r>
      <w:r w:rsidRPr="009E2BBC">
        <w:t>k,</w:t>
      </w:r>
      <w: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represents the average annual EIR recorded for household </w:t>
      </w:r>
      <w:r w:rsidRPr="00B74746">
        <w:rPr>
          <w:i/>
        </w:rPr>
        <w:t>j</w:t>
      </w:r>
      <w:r w:rsidRPr="009E2BBC">
        <w:t>.</w:t>
      </w:r>
      <w:r w:rsidR="00B74746">
        <w:t xml:space="preserve"> </w:t>
      </w:r>
      <w:proofErr w:type="spellStart"/>
      <w:r w:rsidR="008D509C">
        <w:t>u</w:t>
      </w:r>
      <w:r w:rsidR="008D509C">
        <w:rPr>
          <w:vertAlign w:val="subscript"/>
        </w:rPr>
        <w:t>i</w:t>
      </w:r>
      <w:proofErr w:type="spellEnd"/>
      <w:r w:rsidR="008D509C">
        <w:rPr>
          <w:vertAlign w:val="subscript"/>
        </w:rPr>
        <w:t xml:space="preserve"> </w:t>
      </w:r>
      <w:r w:rsidR="008D509C">
        <w:t xml:space="preserve">and </w:t>
      </w:r>
      <w:r w:rsidR="008D509C">
        <w:sym w:font="Symbol" w:char="F067"/>
      </w:r>
      <w:r w:rsidR="008D509C" w:rsidRPr="007A4D80">
        <w:rPr>
          <w:vertAlign w:val="subscript"/>
        </w:rPr>
        <w:t>j</w:t>
      </w:r>
      <w:r w:rsidR="008D509C">
        <w:t xml:space="preserve"> denote the individual and household random effects, respectively, assumed to be normally distributed with mean 0. </w:t>
      </w:r>
      <w:r w:rsidR="00B74746">
        <w:t>Tensor interactions were used for interaction models</w:t>
      </w:r>
      <w:r w:rsidR="008E2C8B">
        <w:t xml:space="preserve"> (AD4)</w:t>
      </w:r>
      <w:r w:rsidR="00B74746">
        <w:t>.</w:t>
      </w:r>
    </w:p>
    <w:p w14:paraId="63490C9E" w14:textId="77777777" w:rsidR="008353DF" w:rsidRDefault="008353DF" w:rsidP="002C49AD">
      <w:pPr>
        <w:pStyle w:val="ListParagraph"/>
        <w:ind w:left="0"/>
        <w:rPr>
          <w:b/>
        </w:rPr>
      </w:pPr>
    </w:p>
    <w:p w14:paraId="7F5FC895" w14:textId="4D0BFFB6" w:rsidR="009E2BBC" w:rsidRPr="002C49AD" w:rsidRDefault="000014DE" w:rsidP="00B515D6">
      <w:pPr>
        <w:pStyle w:val="Heading2"/>
      </w:pPr>
      <w:r>
        <w:rPr>
          <w:b/>
        </w:rPr>
        <w:t xml:space="preserve">Appendix 1-Table 2. </w:t>
      </w:r>
      <w:r w:rsidRPr="00B515D6">
        <w:rPr>
          <w:rFonts w:ascii="Times New Roman" w:hAnsi="Times New Roman" w:cs="Times New Roman"/>
          <w:b/>
          <w:sz w:val="24"/>
          <w:szCs w:val="24"/>
        </w:rPr>
        <w:t xml:space="preserve">Anti-disease immunity </w:t>
      </w:r>
      <w:r w:rsidR="009E2BBC" w:rsidRPr="00B515D6">
        <w:rPr>
          <w:rFonts w:ascii="Times New Roman" w:hAnsi="Times New Roman" w:cs="Times New Roman"/>
          <w:b/>
          <w:sz w:val="24"/>
          <w:szCs w:val="24"/>
        </w:rPr>
        <w:t>Model fit</w:t>
      </w:r>
    </w:p>
    <w:p w14:paraId="189EE7E1" w14:textId="77777777" w:rsidR="009E2BBC" w:rsidRPr="00E02CBE" w:rsidRDefault="009E2BBC" w:rsidP="002C49AD">
      <w:pPr>
        <w:pStyle w:val="ListParagraph"/>
        <w:ind w:left="0"/>
      </w:pPr>
    </w:p>
    <w:tbl>
      <w:tblPr>
        <w:tblStyle w:val="TableGrid"/>
        <w:tblpPr w:leftFromText="180" w:rightFromText="180" w:vertAnchor="text" w:horzAnchor="page" w:tblpX="2170" w:tblpY="20"/>
        <w:tblW w:w="0" w:type="auto"/>
        <w:tblLook w:val="04A0" w:firstRow="1" w:lastRow="0" w:firstColumn="1" w:lastColumn="0" w:noHBand="0" w:noVBand="1"/>
      </w:tblPr>
      <w:tblGrid>
        <w:gridCol w:w="1355"/>
        <w:gridCol w:w="983"/>
        <w:gridCol w:w="1620"/>
        <w:gridCol w:w="1170"/>
      </w:tblGrid>
      <w:tr w:rsidR="002C49AD" w14:paraId="60963944" w14:textId="77777777" w:rsidTr="004B05BC">
        <w:tc>
          <w:tcPr>
            <w:tcW w:w="1355" w:type="dxa"/>
          </w:tcPr>
          <w:p w14:paraId="004F41E7" w14:textId="77777777" w:rsidR="00E80CC8" w:rsidRDefault="00E80CC8" w:rsidP="002C49AD">
            <w:pPr>
              <w:pStyle w:val="ListParagraph"/>
              <w:ind w:left="0"/>
            </w:pPr>
            <w:r>
              <w:t>Model</w:t>
            </w:r>
          </w:p>
        </w:tc>
        <w:tc>
          <w:tcPr>
            <w:tcW w:w="983" w:type="dxa"/>
          </w:tcPr>
          <w:p w14:paraId="7B9FFCA0" w14:textId="0C46F569" w:rsidR="00E80CC8" w:rsidRPr="00E80CC8" w:rsidRDefault="004B05BC" w:rsidP="002C49AD">
            <w:pPr>
              <w:pStyle w:val="ListParagraph"/>
              <w:ind w:left="0"/>
            </w:pPr>
            <w:r>
              <w:t>DF</w:t>
            </w:r>
          </w:p>
        </w:tc>
        <w:tc>
          <w:tcPr>
            <w:tcW w:w="1620" w:type="dxa"/>
          </w:tcPr>
          <w:p w14:paraId="43AB91CB" w14:textId="77777777" w:rsidR="00E80CC8" w:rsidRDefault="00E80CC8" w:rsidP="002C49AD">
            <w:pPr>
              <w:pStyle w:val="ListParagraph"/>
              <w:ind w:left="0"/>
            </w:pPr>
            <w:r>
              <w:t>% Deviance Explained</w:t>
            </w:r>
          </w:p>
        </w:tc>
        <w:tc>
          <w:tcPr>
            <w:tcW w:w="1170" w:type="dxa"/>
          </w:tcPr>
          <w:p w14:paraId="2804F0CA" w14:textId="77777777" w:rsidR="00E80CC8" w:rsidRDefault="00E80CC8" w:rsidP="002C49AD">
            <w:pPr>
              <w:pStyle w:val="ListParagraph"/>
              <w:ind w:left="0"/>
            </w:pPr>
            <w:r>
              <w:t>AIC</w:t>
            </w:r>
          </w:p>
        </w:tc>
      </w:tr>
      <w:tr w:rsidR="002C49AD" w14:paraId="1F649530" w14:textId="77777777" w:rsidTr="004B05BC">
        <w:tc>
          <w:tcPr>
            <w:tcW w:w="1355" w:type="dxa"/>
          </w:tcPr>
          <w:p w14:paraId="7E1FD545" w14:textId="2A64C615" w:rsidR="00E80CC8" w:rsidRDefault="00E80CC8" w:rsidP="002C49AD">
            <w:pPr>
              <w:pStyle w:val="ListParagraph"/>
              <w:ind w:left="0"/>
            </w:pPr>
            <w:r>
              <w:t>AD1</w:t>
            </w:r>
          </w:p>
        </w:tc>
        <w:tc>
          <w:tcPr>
            <w:tcW w:w="983" w:type="dxa"/>
          </w:tcPr>
          <w:p w14:paraId="2645A3AA" w14:textId="45A08538" w:rsidR="00E80CC8" w:rsidRDefault="005E07E7" w:rsidP="002C49AD">
            <w:pPr>
              <w:pStyle w:val="ListParagraph"/>
              <w:ind w:left="0"/>
            </w:pPr>
            <w:r>
              <w:t>315</w:t>
            </w:r>
          </w:p>
        </w:tc>
        <w:tc>
          <w:tcPr>
            <w:tcW w:w="1620" w:type="dxa"/>
          </w:tcPr>
          <w:p w14:paraId="58A4844D" w14:textId="3C1FB817" w:rsidR="00E80CC8" w:rsidRDefault="00AB01BD" w:rsidP="002C49AD">
            <w:pPr>
              <w:pStyle w:val="ListParagraph"/>
              <w:ind w:left="0"/>
            </w:pPr>
            <w:r>
              <w:t>37.7</w:t>
            </w:r>
          </w:p>
        </w:tc>
        <w:tc>
          <w:tcPr>
            <w:tcW w:w="1170" w:type="dxa"/>
          </w:tcPr>
          <w:p w14:paraId="3A746C1E" w14:textId="313B28FF" w:rsidR="00E80CC8" w:rsidRDefault="00F03075" w:rsidP="002C49AD">
            <w:pPr>
              <w:pStyle w:val="ListParagraph"/>
              <w:ind w:left="0"/>
            </w:pPr>
            <w:r>
              <w:t>1494</w:t>
            </w:r>
            <w:r w:rsidR="005E07E7">
              <w:t>6</w:t>
            </w:r>
          </w:p>
        </w:tc>
      </w:tr>
      <w:tr w:rsidR="002C49AD" w14:paraId="00D94F2E" w14:textId="77777777" w:rsidTr="004B05BC">
        <w:tc>
          <w:tcPr>
            <w:tcW w:w="1355" w:type="dxa"/>
          </w:tcPr>
          <w:p w14:paraId="70BC278E" w14:textId="38890C9A" w:rsidR="00E80CC8" w:rsidRDefault="00E80CC8" w:rsidP="002C49AD">
            <w:pPr>
              <w:pStyle w:val="ListParagraph"/>
              <w:ind w:left="0"/>
            </w:pPr>
            <w:r>
              <w:t>AD2</w:t>
            </w:r>
          </w:p>
        </w:tc>
        <w:tc>
          <w:tcPr>
            <w:tcW w:w="983" w:type="dxa"/>
          </w:tcPr>
          <w:p w14:paraId="7D46599C" w14:textId="3145A200" w:rsidR="00E80CC8" w:rsidRDefault="00602A91" w:rsidP="002C49AD">
            <w:pPr>
              <w:pStyle w:val="ListParagraph"/>
              <w:ind w:left="0"/>
            </w:pPr>
            <w:r>
              <w:t>285</w:t>
            </w:r>
          </w:p>
        </w:tc>
        <w:tc>
          <w:tcPr>
            <w:tcW w:w="1620" w:type="dxa"/>
          </w:tcPr>
          <w:p w14:paraId="0EE8AC96" w14:textId="4FACCF54" w:rsidR="00E80CC8" w:rsidRDefault="00247E69" w:rsidP="002C49AD">
            <w:pPr>
              <w:pStyle w:val="ListParagraph"/>
              <w:ind w:left="0"/>
            </w:pPr>
            <w:r>
              <w:t>39.0</w:t>
            </w:r>
          </w:p>
        </w:tc>
        <w:tc>
          <w:tcPr>
            <w:tcW w:w="1170" w:type="dxa"/>
          </w:tcPr>
          <w:p w14:paraId="0F31B429" w14:textId="49D978ED" w:rsidR="00E80CC8" w:rsidRDefault="0090448C" w:rsidP="002C49AD">
            <w:pPr>
              <w:pStyle w:val="ListParagraph"/>
              <w:ind w:left="0"/>
            </w:pPr>
            <w:r w:rsidRPr="00901432">
              <w:t>1477</w:t>
            </w:r>
            <w:r w:rsidR="00901432" w:rsidRPr="00901432">
              <w:t>4</w:t>
            </w:r>
          </w:p>
        </w:tc>
      </w:tr>
      <w:tr w:rsidR="00B5775B" w14:paraId="1F5397B8" w14:textId="77777777" w:rsidTr="004B05BC">
        <w:tc>
          <w:tcPr>
            <w:tcW w:w="1355" w:type="dxa"/>
          </w:tcPr>
          <w:p w14:paraId="1738D839" w14:textId="771F53DB" w:rsidR="00B5775B" w:rsidRDefault="00EE7717" w:rsidP="002C49AD">
            <w:pPr>
              <w:pStyle w:val="ListParagraph"/>
              <w:ind w:left="0"/>
            </w:pPr>
            <w:r>
              <w:t>AD3</w:t>
            </w:r>
          </w:p>
        </w:tc>
        <w:tc>
          <w:tcPr>
            <w:tcW w:w="983" w:type="dxa"/>
          </w:tcPr>
          <w:p w14:paraId="7ACBC9D0" w14:textId="58CBCF97" w:rsidR="00B5775B" w:rsidRDefault="00EE7717" w:rsidP="002C49AD">
            <w:pPr>
              <w:pStyle w:val="ListParagraph"/>
              <w:ind w:left="0"/>
            </w:pPr>
            <w:r>
              <w:t>314</w:t>
            </w:r>
          </w:p>
        </w:tc>
        <w:tc>
          <w:tcPr>
            <w:tcW w:w="1620" w:type="dxa"/>
          </w:tcPr>
          <w:p w14:paraId="770A18DC" w14:textId="64F03E9D" w:rsidR="00B5775B" w:rsidRDefault="00B5775B" w:rsidP="002C49AD">
            <w:pPr>
              <w:pStyle w:val="ListParagraph"/>
              <w:ind w:left="0"/>
            </w:pPr>
            <w:r>
              <w:t>38.3</w:t>
            </w:r>
          </w:p>
        </w:tc>
        <w:tc>
          <w:tcPr>
            <w:tcW w:w="1170" w:type="dxa"/>
          </w:tcPr>
          <w:p w14:paraId="5968AA21" w14:textId="6F9F05E4" w:rsidR="00B5775B" w:rsidRPr="00901432" w:rsidRDefault="00B5775B" w:rsidP="002C49AD">
            <w:pPr>
              <w:pStyle w:val="ListParagraph"/>
              <w:ind w:left="0"/>
            </w:pPr>
            <w:r>
              <w:t>14894</w:t>
            </w:r>
          </w:p>
        </w:tc>
      </w:tr>
      <w:tr w:rsidR="002C49AD" w14:paraId="71DE249F" w14:textId="77777777" w:rsidTr="004B05BC">
        <w:trPr>
          <w:trHeight w:val="317"/>
        </w:trPr>
        <w:tc>
          <w:tcPr>
            <w:tcW w:w="1355" w:type="dxa"/>
          </w:tcPr>
          <w:p w14:paraId="2BBF59B9" w14:textId="061D6485" w:rsidR="00E80CC8" w:rsidRDefault="00E80CC8" w:rsidP="002C49AD">
            <w:pPr>
              <w:pStyle w:val="ListParagraph"/>
              <w:ind w:left="0"/>
            </w:pPr>
            <w:r>
              <w:t>AD</w:t>
            </w:r>
            <w:r w:rsidR="00EE7717">
              <w:t>4</w:t>
            </w:r>
          </w:p>
        </w:tc>
        <w:tc>
          <w:tcPr>
            <w:tcW w:w="983" w:type="dxa"/>
          </w:tcPr>
          <w:p w14:paraId="66E1E905" w14:textId="3D940B5B" w:rsidR="00E80CC8" w:rsidRDefault="00602A91" w:rsidP="002C49AD">
            <w:pPr>
              <w:pStyle w:val="ListParagraph"/>
              <w:ind w:left="0"/>
            </w:pPr>
            <w:r>
              <w:t>296</w:t>
            </w:r>
          </w:p>
        </w:tc>
        <w:tc>
          <w:tcPr>
            <w:tcW w:w="1620" w:type="dxa"/>
          </w:tcPr>
          <w:p w14:paraId="03B54FDB" w14:textId="57D23FE2" w:rsidR="00E80CC8" w:rsidRDefault="00F03075" w:rsidP="002C49AD">
            <w:pPr>
              <w:pStyle w:val="ListParagraph"/>
              <w:ind w:left="0"/>
            </w:pPr>
            <w:r>
              <w:t>39.4</w:t>
            </w:r>
          </w:p>
        </w:tc>
        <w:tc>
          <w:tcPr>
            <w:tcW w:w="1170" w:type="dxa"/>
          </w:tcPr>
          <w:p w14:paraId="5DC5370F" w14:textId="72872FFE" w:rsidR="00E80CC8" w:rsidRDefault="00F03075" w:rsidP="002C49AD">
            <w:pPr>
              <w:pStyle w:val="ListParagraph"/>
              <w:ind w:left="0"/>
            </w:pPr>
            <w:r>
              <w:t>14758</w:t>
            </w:r>
          </w:p>
        </w:tc>
      </w:tr>
    </w:tbl>
    <w:p w14:paraId="678B2054" w14:textId="77777777" w:rsidR="00C45613" w:rsidRDefault="00C45613" w:rsidP="002C49AD">
      <w:pPr>
        <w:pStyle w:val="ListParagraph"/>
        <w:ind w:left="0"/>
      </w:pPr>
    </w:p>
    <w:p w14:paraId="0CBBBE7B" w14:textId="77777777" w:rsidR="00E80CC8" w:rsidRDefault="00E80CC8" w:rsidP="002C49AD">
      <w:pPr>
        <w:pStyle w:val="ListParagraph"/>
        <w:ind w:left="0"/>
      </w:pPr>
    </w:p>
    <w:p w14:paraId="19872EFB" w14:textId="77777777" w:rsidR="00E80CC8" w:rsidRDefault="00E80CC8" w:rsidP="002C49AD">
      <w:pPr>
        <w:pStyle w:val="ListParagraph"/>
        <w:ind w:left="0"/>
      </w:pPr>
    </w:p>
    <w:p w14:paraId="722212CC" w14:textId="77777777" w:rsidR="00E80CC8" w:rsidRDefault="00E80CC8" w:rsidP="002C49AD">
      <w:pPr>
        <w:pStyle w:val="ListParagraph"/>
        <w:ind w:left="0"/>
      </w:pPr>
    </w:p>
    <w:p w14:paraId="2037FE1E" w14:textId="77777777" w:rsidR="00E80CC8" w:rsidRDefault="00E80CC8" w:rsidP="002C49AD">
      <w:pPr>
        <w:pStyle w:val="ListParagraph"/>
        <w:ind w:left="0"/>
      </w:pPr>
    </w:p>
    <w:p w14:paraId="3B0C38C9" w14:textId="77777777" w:rsidR="004B05BC" w:rsidRDefault="004B05BC" w:rsidP="002C49AD">
      <w:pPr>
        <w:pStyle w:val="ListParagraph"/>
        <w:ind w:left="0"/>
      </w:pPr>
    </w:p>
    <w:p w14:paraId="5EEB586D" w14:textId="77777777" w:rsidR="004B05BC" w:rsidRDefault="004B05BC" w:rsidP="002C49AD">
      <w:pPr>
        <w:pStyle w:val="ListParagraph"/>
        <w:ind w:left="0"/>
      </w:pPr>
    </w:p>
    <w:p w14:paraId="001F4460" w14:textId="0475ECC2" w:rsidR="008353DF" w:rsidRDefault="008353DF" w:rsidP="007A4D80">
      <w:pPr>
        <w:pStyle w:val="ListParagraph"/>
        <w:ind w:left="0"/>
        <w:rPr>
          <w:b/>
        </w:rPr>
      </w:pPr>
      <w:r w:rsidRPr="007A4D80">
        <w:rPr>
          <w:b/>
        </w:rPr>
        <w:t>Fever threshold</w:t>
      </w:r>
    </w:p>
    <w:p w14:paraId="50251D8B" w14:textId="57E8F854" w:rsidR="008353DF" w:rsidRPr="008353DF" w:rsidRDefault="008353DF" w:rsidP="007A4D80">
      <w:pPr>
        <w:pStyle w:val="ListParagraph"/>
        <w:ind w:left="0"/>
      </w:pPr>
      <w:r>
        <w:t>In order to estimate the</w:t>
      </w:r>
      <w:r w:rsidR="000D624A">
        <w:t xml:space="preserve"> fever threshold, defined as the</w:t>
      </w:r>
      <w:r>
        <w:t xml:space="preserve"> minimum parasite density associated with fever (temperature greater than 38</w:t>
      </w:r>
      <w:r w:rsidRPr="007A4D80">
        <w:rPr>
          <w:vertAlign w:val="superscript"/>
        </w:rPr>
        <w:t>o</w:t>
      </w:r>
      <w:r>
        <w:t xml:space="preserve">C) we </w:t>
      </w:r>
      <w:r w:rsidR="000D624A">
        <w:t xml:space="preserve">first </w:t>
      </w:r>
      <w:r>
        <w:t>used the best fitting model (AD3) to predict the expected temperature across levels of parasite density, age and exposure (</w:t>
      </w:r>
      <w:proofErr w:type="spellStart"/>
      <w:r>
        <w:t>aEIR</w:t>
      </w:r>
      <w:proofErr w:type="spellEnd"/>
      <w:r>
        <w:t>)</w:t>
      </w:r>
      <w:r w:rsidR="000D624A">
        <w:t xml:space="preserve"> (as shown in Figure 6)</w:t>
      </w:r>
      <w:r>
        <w:t>.</w:t>
      </w:r>
      <w:r w:rsidR="000D624A">
        <w:t xml:space="preserve"> </w:t>
      </w:r>
      <w:r w:rsidR="00876F4A">
        <w:t xml:space="preserve">For each level of age and </w:t>
      </w:r>
      <w:proofErr w:type="spellStart"/>
      <w:r w:rsidR="00876F4A">
        <w:t>aEIR</w:t>
      </w:r>
      <w:proofErr w:type="spellEnd"/>
      <w:r w:rsidR="00876F4A">
        <w:t xml:space="preserve">, </w:t>
      </w:r>
      <w:r>
        <w:t>we then extracted the</w:t>
      </w:r>
      <w:r w:rsidR="000D624A">
        <w:t xml:space="preserve"> minimum parasite density that predicted a temperature &gt; 38</w:t>
      </w:r>
      <w:r w:rsidR="000D624A" w:rsidRPr="00212819">
        <w:rPr>
          <w:vertAlign w:val="superscript"/>
        </w:rPr>
        <w:t>o</w:t>
      </w:r>
      <w:r w:rsidR="000D624A">
        <w:t>C</w:t>
      </w:r>
      <w:r w:rsidR="00876F4A">
        <w:t>. This was possible since the association between parasite density and temperature is positive (</w:t>
      </w:r>
      <w:r w:rsidR="00D57DC2">
        <w:t>Figure</w:t>
      </w:r>
      <w:r w:rsidR="008E2C8B">
        <w:t xml:space="preserve"> 6- figure supplement </w:t>
      </w:r>
      <w:proofErr w:type="gramStart"/>
      <w:r w:rsidR="008E2C8B">
        <w:t>1</w:t>
      </w:r>
      <w:r w:rsidR="00D57DC2">
        <w:t xml:space="preserve"> </w:t>
      </w:r>
      <w:r w:rsidR="00876F4A">
        <w:t>)</w:t>
      </w:r>
      <w:proofErr w:type="gramEnd"/>
      <w:r w:rsidR="00876F4A">
        <w:t>.</w:t>
      </w:r>
    </w:p>
    <w:p w14:paraId="4A8ECC86" w14:textId="77777777" w:rsidR="008353DF" w:rsidRDefault="008353DF" w:rsidP="002C49AD">
      <w:pPr>
        <w:pStyle w:val="Heading2"/>
      </w:pPr>
    </w:p>
    <w:p w14:paraId="25217AAB" w14:textId="77777777" w:rsidR="00EA6EF9" w:rsidRPr="00EA6EF9" w:rsidRDefault="00EA6EF9" w:rsidP="002C49AD">
      <w:pPr>
        <w:pStyle w:val="Heading2"/>
      </w:pPr>
      <w:bookmarkStart w:id="4" w:name="_Toc514950628"/>
      <w:r w:rsidRPr="00EA6EF9">
        <w:t xml:space="preserve">Overall immunity </w:t>
      </w:r>
      <w:r w:rsidRPr="00367D71">
        <w:t>against</w:t>
      </w:r>
      <w:r w:rsidRPr="00EA6EF9">
        <w:t xml:space="preserve"> symptomatic malaria</w:t>
      </w:r>
      <w:bookmarkEnd w:id="4"/>
    </w:p>
    <w:p w14:paraId="74587B92" w14:textId="77777777" w:rsidR="00B74746" w:rsidRPr="00367D71" w:rsidRDefault="00B74746" w:rsidP="002C49AD">
      <w:pPr>
        <w:pStyle w:val="ListParagraph"/>
        <w:ind w:left="0"/>
        <w:rPr>
          <w:b/>
          <w:u w:val="single"/>
        </w:rPr>
      </w:pPr>
    </w:p>
    <w:p w14:paraId="168EDF57" w14:textId="6815D589" w:rsidR="00B74746" w:rsidRPr="009E2BBC" w:rsidRDefault="00B74746" w:rsidP="002C49AD">
      <w:pPr>
        <w:pStyle w:val="ListParagraph"/>
        <w:ind w:left="0"/>
        <w:rPr>
          <w:b/>
        </w:rPr>
      </w:pPr>
      <w:r w:rsidRPr="009E2BBC">
        <w:rPr>
          <w:b/>
        </w:rPr>
        <w:t>Models</w:t>
      </w:r>
    </w:p>
    <w:p w14:paraId="021AD07F" w14:textId="2117E582" w:rsidR="00B74746" w:rsidRDefault="00B74746" w:rsidP="002C49AD">
      <w:pPr>
        <w:pStyle w:val="ListParagraph"/>
        <w:ind w:left="0"/>
      </w:pPr>
      <w:r>
        <w:t>To explore the association between age, exposure (</w:t>
      </w:r>
      <w:proofErr w:type="spellStart"/>
      <w:r>
        <w:t>aEIR</w:t>
      </w:r>
      <w:proofErr w:type="spellEnd"/>
      <w:r>
        <w:t xml:space="preserve">), </w:t>
      </w:r>
      <w:r w:rsidR="00030AAC">
        <w:t>and</w:t>
      </w:r>
      <w:r w:rsidR="00CF3DC0">
        <w:t xml:space="preserve"> the odds of</w:t>
      </w:r>
      <w:r w:rsidR="00030AAC">
        <w:t xml:space="preserve"> symptomatic malaria upon infection, we fit the following models.</w:t>
      </w:r>
    </w:p>
    <w:p w14:paraId="59BD467B" w14:textId="77777777" w:rsidR="00B74746" w:rsidRDefault="00B74746" w:rsidP="002C49AD">
      <w:pPr>
        <w:pStyle w:val="ListParagraph"/>
        <w:ind w:left="0"/>
      </w:pPr>
    </w:p>
    <w:p w14:paraId="4D45B091" w14:textId="4F527079" w:rsidR="00B74746" w:rsidRDefault="00EA6EF9" w:rsidP="002C49AD">
      <w:pPr>
        <w:pStyle w:val="ListParagraph"/>
        <w:spacing w:line="480" w:lineRule="auto"/>
        <w:ind w:left="0"/>
      </w:pPr>
      <w:r>
        <w:t>SM</w:t>
      </w:r>
      <w:r w:rsidR="00B74746">
        <w:t xml:space="preserve">1: </w:t>
      </w:r>
      <m:oMath>
        <m:r>
          <w:rPr>
            <w:rFonts w:ascii="Cambria Math" w:hAnsi="Cambria Math"/>
          </w:rPr>
          <m:t>Log Odds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symptomatic malaria</m:t>
                </m:r>
              </m:e>
            </m:d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0593959A" w14:textId="7DB7D33D" w:rsidR="00B74746" w:rsidRDefault="00EA6EF9" w:rsidP="002C49AD">
      <w:pPr>
        <w:pStyle w:val="ListParagraph"/>
        <w:spacing w:line="480" w:lineRule="auto"/>
        <w:ind w:left="0"/>
      </w:pPr>
      <w:r>
        <w:t>SM</w:t>
      </w:r>
      <w:r w:rsidR="00B74746">
        <w:t xml:space="preserve">2: </w:t>
      </w:r>
      <m:oMath>
        <m:r>
          <w:rPr>
            <w:rFonts w:ascii="Cambria Math" w:hAnsi="Cambria Math"/>
          </w:rPr>
          <m:t>Log Odds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symptomatic malaria</m:t>
                </m:r>
              </m:e>
            </m:d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 xml:space="preserve">)+f(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4A233AD1" w14:textId="46D7F638" w:rsidR="00EE7717" w:rsidRDefault="00EE7717" w:rsidP="002C49AD">
      <w:pPr>
        <w:pStyle w:val="ListParagraph"/>
        <w:spacing w:line="480" w:lineRule="auto"/>
        <w:ind w:left="0"/>
      </w:pPr>
      <w:r>
        <w:t xml:space="preserve">SM3: </w:t>
      </w:r>
      <m:oMath>
        <m:r>
          <w:rPr>
            <w:rFonts w:ascii="Cambria Math" w:hAnsi="Cambria Math"/>
          </w:rPr>
          <m:t>Log Odds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symptomatic malaria</m:t>
                </m:r>
              </m:e>
            </m:d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0A59606A" w14:textId="04EDC57D" w:rsidR="00B74746" w:rsidRPr="00E02CBE" w:rsidRDefault="00EA6EF9" w:rsidP="002C49AD">
      <w:pPr>
        <w:pStyle w:val="ListParagraph"/>
        <w:spacing w:line="480" w:lineRule="auto"/>
        <w:ind w:left="0"/>
      </w:pPr>
      <w:r>
        <w:t>SM</w:t>
      </w:r>
      <w:r w:rsidR="00EE7717">
        <w:t>4</w:t>
      </w:r>
      <w:r w:rsidR="00B74746">
        <w:t xml:space="preserve">: </w:t>
      </w:r>
      <m:oMath>
        <m:r>
          <w:rPr>
            <w:rFonts w:ascii="Cambria Math" w:hAnsi="Cambria Math"/>
          </w:rPr>
          <m:t>Log Odds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symptomatic malaria</m:t>
                </m:r>
              </m:e>
            </m:d>
          </m:e>
          <m:sub>
            <m:r>
              <w:rPr>
                <w:rFonts w:ascii="Cambria Math" w:hAnsi="Cambria Math"/>
              </w:rPr>
              <m:t>ijk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</w:p>
    <w:p w14:paraId="6D0A29E0" w14:textId="0EE090D6" w:rsidR="00B74746" w:rsidRDefault="00B74746" w:rsidP="002C49AD">
      <w:pPr>
        <w:pStyle w:val="ListParagraph"/>
        <w:ind w:left="0"/>
      </w:pPr>
      <w:r>
        <w:lastRenderedPageBreak/>
        <w:t xml:space="preserve">Where </w:t>
      </w:r>
      <w:proofErr w:type="spellStart"/>
      <w:r w:rsidRPr="009E2BBC">
        <w:rPr>
          <w:i/>
        </w:rPr>
        <w:t>i</w:t>
      </w:r>
      <w:proofErr w:type="spellEnd"/>
      <w:r w:rsidRPr="009E2BBC">
        <w:t xml:space="preserve"> </w:t>
      </w:r>
      <w:r>
        <w:t xml:space="preserve">is an index for individuals, </w:t>
      </w:r>
      <w:r w:rsidRPr="009E2BBC">
        <w:rPr>
          <w:i/>
        </w:rPr>
        <w:t>j</w:t>
      </w:r>
      <w:r w:rsidRPr="009E2BBC">
        <w:t xml:space="preserve"> </w:t>
      </w:r>
      <w:r>
        <w:t xml:space="preserve">for households and </w:t>
      </w:r>
      <w:r w:rsidRPr="009E2BBC">
        <w:rPr>
          <w:i/>
        </w:rPr>
        <w:t xml:space="preserve">k </w:t>
      </w:r>
      <w:r>
        <w:t xml:space="preserve">for specific visits. Thus,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age</m:t>
            </m:r>
          </m:e>
          <m:sub>
            <m:r>
              <w:rPr>
                <w:rFonts w:ascii="Cambria Math" w:hAnsi="Cambria Math"/>
              </w:rPr>
              <m:t>ijk</m:t>
            </m:r>
          </m:sub>
        </m:sSub>
      </m:oMath>
      <w:r>
        <w:t xml:space="preserve"> represents the age of child </w:t>
      </w:r>
      <w:proofErr w:type="spellStart"/>
      <w:r w:rsidRPr="009E2BBC">
        <w:t>i</w:t>
      </w:r>
      <w:proofErr w:type="spellEnd"/>
      <w:r w:rsidRPr="009E2BBC">
        <w:t xml:space="preserve"> </w:t>
      </w:r>
      <w:r>
        <w:t xml:space="preserve">from household </w:t>
      </w:r>
      <w:r w:rsidRPr="009E2BBC">
        <w:t>j</w:t>
      </w:r>
      <w:r>
        <w:t xml:space="preserve"> during visit </w:t>
      </w:r>
      <w:r w:rsidRPr="009E2BBC">
        <w:t>k,</w:t>
      </w:r>
      <w: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aEIR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represents the average annual EIR recorded for household </w:t>
      </w:r>
      <w:r w:rsidRPr="00B74746">
        <w:rPr>
          <w:i/>
        </w:rPr>
        <w:t>j</w:t>
      </w:r>
      <w:r w:rsidRPr="009E2BBC">
        <w:t>.</w:t>
      </w:r>
      <w:r>
        <w:t xml:space="preserve"> </w:t>
      </w:r>
      <w:proofErr w:type="spellStart"/>
      <w:r w:rsidR="00D866D4">
        <w:t>u</w:t>
      </w:r>
      <w:r w:rsidR="00D866D4">
        <w:rPr>
          <w:vertAlign w:val="subscript"/>
        </w:rPr>
        <w:t>i</w:t>
      </w:r>
      <w:proofErr w:type="spellEnd"/>
      <w:r w:rsidR="00D866D4">
        <w:rPr>
          <w:vertAlign w:val="subscript"/>
        </w:rPr>
        <w:t xml:space="preserve"> </w:t>
      </w:r>
      <w:r w:rsidR="00D866D4">
        <w:t xml:space="preserve">and </w:t>
      </w:r>
      <w:r w:rsidR="00D866D4">
        <w:sym w:font="Symbol" w:char="F067"/>
      </w:r>
      <w:r w:rsidR="00D866D4" w:rsidRPr="00212819">
        <w:rPr>
          <w:vertAlign w:val="subscript"/>
        </w:rPr>
        <w:t>j</w:t>
      </w:r>
      <w:r w:rsidR="00D866D4">
        <w:t xml:space="preserve"> denote the individual and household random effects, respectively, assumed to be normally distributed with mean 0. </w:t>
      </w:r>
      <w:r>
        <w:t>Tensor interactions were used for interaction models</w:t>
      </w:r>
      <w:r w:rsidR="008E2C8B">
        <w:t xml:space="preserve"> (SM4)</w:t>
      </w:r>
      <w:r>
        <w:t xml:space="preserve">. </w:t>
      </w:r>
    </w:p>
    <w:tbl>
      <w:tblPr>
        <w:tblStyle w:val="TableGrid"/>
        <w:tblpPr w:leftFromText="180" w:rightFromText="180" w:vertAnchor="text" w:horzAnchor="page" w:tblpX="2149" w:tblpY="2337"/>
        <w:tblW w:w="0" w:type="auto"/>
        <w:tblLook w:val="04A0" w:firstRow="1" w:lastRow="0" w:firstColumn="1" w:lastColumn="0" w:noHBand="0" w:noVBand="1"/>
      </w:tblPr>
      <w:tblGrid>
        <w:gridCol w:w="1355"/>
        <w:gridCol w:w="1070"/>
        <w:gridCol w:w="1526"/>
        <w:gridCol w:w="1081"/>
      </w:tblGrid>
      <w:tr w:rsidR="00495B79" w14:paraId="0AB4B320" w14:textId="77777777" w:rsidTr="00B515D6">
        <w:tc>
          <w:tcPr>
            <w:tcW w:w="1355" w:type="dxa"/>
          </w:tcPr>
          <w:p w14:paraId="636842A1" w14:textId="156773F4" w:rsidR="00495B79" w:rsidRDefault="00495B79" w:rsidP="000014DE">
            <w:pPr>
              <w:pStyle w:val="ListParagraph"/>
              <w:ind w:left="0"/>
            </w:pPr>
            <w:r>
              <w:t>Model</w:t>
            </w:r>
          </w:p>
        </w:tc>
        <w:tc>
          <w:tcPr>
            <w:tcW w:w="1070" w:type="dxa"/>
          </w:tcPr>
          <w:p w14:paraId="31D106C3" w14:textId="77777777" w:rsidR="00495B79" w:rsidRPr="00E80CC8" w:rsidRDefault="00495B79" w:rsidP="000014DE">
            <w:pPr>
              <w:pStyle w:val="ListParagraph"/>
              <w:ind w:left="0"/>
            </w:pPr>
            <w:r>
              <w:t>DF</w:t>
            </w:r>
          </w:p>
        </w:tc>
        <w:tc>
          <w:tcPr>
            <w:tcW w:w="1526" w:type="dxa"/>
          </w:tcPr>
          <w:p w14:paraId="3AFD2C60" w14:textId="77777777" w:rsidR="00495B79" w:rsidRDefault="00495B79" w:rsidP="000014DE">
            <w:pPr>
              <w:pStyle w:val="ListParagraph"/>
              <w:ind w:left="0"/>
            </w:pPr>
            <w:r>
              <w:t>% Deviance Explained</w:t>
            </w:r>
          </w:p>
        </w:tc>
        <w:tc>
          <w:tcPr>
            <w:tcW w:w="1081" w:type="dxa"/>
          </w:tcPr>
          <w:p w14:paraId="1D9C27EF" w14:textId="77777777" w:rsidR="00495B79" w:rsidRDefault="00495B79" w:rsidP="000014DE">
            <w:pPr>
              <w:pStyle w:val="ListParagraph"/>
              <w:ind w:left="0"/>
            </w:pPr>
            <w:r>
              <w:t>AIC</w:t>
            </w:r>
          </w:p>
        </w:tc>
      </w:tr>
      <w:tr w:rsidR="00495B79" w14:paraId="17141FAC" w14:textId="77777777" w:rsidTr="00B515D6">
        <w:trPr>
          <w:trHeight w:val="312"/>
        </w:trPr>
        <w:tc>
          <w:tcPr>
            <w:tcW w:w="1355" w:type="dxa"/>
          </w:tcPr>
          <w:p w14:paraId="5148880C" w14:textId="77777777" w:rsidR="00495B79" w:rsidRDefault="00495B79" w:rsidP="000014DE">
            <w:pPr>
              <w:pStyle w:val="ListParagraph"/>
              <w:ind w:left="0"/>
            </w:pPr>
            <w:r>
              <w:t>SM1</w:t>
            </w:r>
          </w:p>
        </w:tc>
        <w:tc>
          <w:tcPr>
            <w:tcW w:w="1070" w:type="dxa"/>
          </w:tcPr>
          <w:p w14:paraId="669821C1" w14:textId="77777777" w:rsidR="00495B79" w:rsidRDefault="00495B79" w:rsidP="000014DE">
            <w:pPr>
              <w:pStyle w:val="ListParagraph"/>
              <w:ind w:left="0"/>
            </w:pPr>
            <w:r>
              <w:t>399.8</w:t>
            </w:r>
          </w:p>
        </w:tc>
        <w:tc>
          <w:tcPr>
            <w:tcW w:w="1526" w:type="dxa"/>
          </w:tcPr>
          <w:p w14:paraId="7553CA71" w14:textId="5FA84FA8" w:rsidR="00495B79" w:rsidRDefault="00495B79" w:rsidP="000014DE">
            <w:pPr>
              <w:pStyle w:val="ListParagraph"/>
              <w:ind w:left="0"/>
            </w:pPr>
            <w:r>
              <w:t>28</w:t>
            </w:r>
          </w:p>
        </w:tc>
        <w:tc>
          <w:tcPr>
            <w:tcW w:w="1081" w:type="dxa"/>
          </w:tcPr>
          <w:p w14:paraId="2A8A4F62" w14:textId="77777777" w:rsidR="00495B79" w:rsidRDefault="00495B79" w:rsidP="000014DE">
            <w:pPr>
              <w:pStyle w:val="ListParagraph"/>
              <w:ind w:left="0"/>
            </w:pPr>
            <w:r w:rsidRPr="0042176A">
              <w:t>5382</w:t>
            </w:r>
          </w:p>
        </w:tc>
      </w:tr>
      <w:tr w:rsidR="00495B79" w14:paraId="34C9D42C" w14:textId="77777777" w:rsidTr="00B515D6">
        <w:tc>
          <w:tcPr>
            <w:tcW w:w="1355" w:type="dxa"/>
          </w:tcPr>
          <w:p w14:paraId="7A0FBE61" w14:textId="77777777" w:rsidR="00495B79" w:rsidRDefault="00495B79" w:rsidP="000014DE">
            <w:pPr>
              <w:pStyle w:val="ListParagraph"/>
              <w:ind w:left="0"/>
            </w:pPr>
            <w:r>
              <w:t>SM2</w:t>
            </w:r>
          </w:p>
        </w:tc>
        <w:tc>
          <w:tcPr>
            <w:tcW w:w="1070" w:type="dxa"/>
          </w:tcPr>
          <w:p w14:paraId="49079895" w14:textId="77777777" w:rsidR="00495B79" w:rsidRDefault="00495B79" w:rsidP="000014DE">
            <w:pPr>
              <w:pStyle w:val="ListParagraph"/>
              <w:ind w:left="0"/>
            </w:pPr>
            <w:r>
              <w:t>385.3</w:t>
            </w:r>
          </w:p>
        </w:tc>
        <w:tc>
          <w:tcPr>
            <w:tcW w:w="1526" w:type="dxa"/>
          </w:tcPr>
          <w:p w14:paraId="43756405" w14:textId="77777777" w:rsidR="00495B79" w:rsidRDefault="00495B79" w:rsidP="000014DE">
            <w:pPr>
              <w:pStyle w:val="ListParagraph"/>
              <w:ind w:left="0"/>
            </w:pPr>
            <w:r>
              <w:t>28</w:t>
            </w:r>
          </w:p>
        </w:tc>
        <w:tc>
          <w:tcPr>
            <w:tcW w:w="1081" w:type="dxa"/>
          </w:tcPr>
          <w:p w14:paraId="322AF370" w14:textId="5704C987" w:rsidR="00495B79" w:rsidRDefault="00495B79" w:rsidP="000014DE">
            <w:pPr>
              <w:pStyle w:val="ListParagraph"/>
              <w:ind w:left="0"/>
            </w:pPr>
            <w:r w:rsidRPr="00247E69">
              <w:t>5373</w:t>
            </w:r>
          </w:p>
        </w:tc>
      </w:tr>
      <w:tr w:rsidR="00EE7717" w14:paraId="1B174A02" w14:textId="77777777" w:rsidTr="00B515D6">
        <w:trPr>
          <w:trHeight w:val="303"/>
        </w:trPr>
        <w:tc>
          <w:tcPr>
            <w:tcW w:w="1355" w:type="dxa"/>
          </w:tcPr>
          <w:p w14:paraId="3AB3E75D" w14:textId="677EF874" w:rsidR="00EE7717" w:rsidRDefault="00EE7717" w:rsidP="000014DE">
            <w:pPr>
              <w:pStyle w:val="ListParagraph"/>
              <w:ind w:left="0"/>
            </w:pPr>
            <w:r>
              <w:t>SM3</w:t>
            </w:r>
          </w:p>
        </w:tc>
        <w:tc>
          <w:tcPr>
            <w:tcW w:w="1070" w:type="dxa"/>
          </w:tcPr>
          <w:p w14:paraId="22BFB168" w14:textId="523D14FD" w:rsidR="00EE7717" w:rsidRDefault="00497D63" w:rsidP="000014DE">
            <w:pPr>
              <w:pStyle w:val="ListParagraph"/>
              <w:ind w:left="0"/>
            </w:pPr>
            <w:r w:rsidRPr="00497D63">
              <w:t>385</w:t>
            </w:r>
            <w:r>
              <w:t>.5</w:t>
            </w:r>
          </w:p>
        </w:tc>
        <w:tc>
          <w:tcPr>
            <w:tcW w:w="1526" w:type="dxa"/>
          </w:tcPr>
          <w:p w14:paraId="2F05955C" w14:textId="12A10936" w:rsidR="00EE7717" w:rsidRDefault="00497D63" w:rsidP="000014DE">
            <w:pPr>
              <w:pStyle w:val="ListParagraph"/>
              <w:ind w:left="0"/>
            </w:pPr>
            <w:r>
              <w:t>27.8</w:t>
            </w:r>
          </w:p>
        </w:tc>
        <w:tc>
          <w:tcPr>
            <w:tcW w:w="1081" w:type="dxa"/>
          </w:tcPr>
          <w:p w14:paraId="043FB534" w14:textId="2C2A1484" w:rsidR="00EE7717" w:rsidRPr="00247E69" w:rsidRDefault="00C0430D" w:rsidP="000014DE">
            <w:pPr>
              <w:pStyle w:val="ListParagraph"/>
              <w:ind w:left="0"/>
            </w:pPr>
            <w:r w:rsidRPr="00C0430D">
              <w:t>5380</w:t>
            </w:r>
          </w:p>
        </w:tc>
      </w:tr>
      <w:tr w:rsidR="00495B79" w14:paraId="6AB4AE85" w14:textId="77777777" w:rsidTr="00B515D6">
        <w:trPr>
          <w:trHeight w:val="317"/>
        </w:trPr>
        <w:tc>
          <w:tcPr>
            <w:tcW w:w="1355" w:type="dxa"/>
          </w:tcPr>
          <w:p w14:paraId="3DDD7693" w14:textId="4064A666" w:rsidR="00495B79" w:rsidRDefault="00495B79" w:rsidP="000014DE">
            <w:pPr>
              <w:pStyle w:val="ListParagraph"/>
              <w:ind w:left="0"/>
            </w:pPr>
            <w:r>
              <w:t>SM</w:t>
            </w:r>
            <w:r w:rsidR="00D40477">
              <w:t>4</w:t>
            </w:r>
          </w:p>
        </w:tc>
        <w:tc>
          <w:tcPr>
            <w:tcW w:w="1070" w:type="dxa"/>
          </w:tcPr>
          <w:p w14:paraId="741AB007" w14:textId="77777777" w:rsidR="00495B79" w:rsidRDefault="00495B79" w:rsidP="000014DE">
            <w:pPr>
              <w:pStyle w:val="ListParagraph"/>
              <w:ind w:left="0"/>
            </w:pPr>
            <w:r>
              <w:t>362.6</w:t>
            </w:r>
          </w:p>
        </w:tc>
        <w:tc>
          <w:tcPr>
            <w:tcW w:w="1526" w:type="dxa"/>
          </w:tcPr>
          <w:p w14:paraId="3EDFF973" w14:textId="77777777" w:rsidR="00495B79" w:rsidRDefault="00495B79" w:rsidP="000014DE">
            <w:pPr>
              <w:pStyle w:val="ListParagraph"/>
              <w:ind w:left="0"/>
            </w:pPr>
            <w:r>
              <w:t>27.3</w:t>
            </w:r>
          </w:p>
        </w:tc>
        <w:tc>
          <w:tcPr>
            <w:tcW w:w="1081" w:type="dxa"/>
          </w:tcPr>
          <w:p w14:paraId="317182D3" w14:textId="77777777" w:rsidR="00495B79" w:rsidRDefault="00495B79" w:rsidP="000014DE">
            <w:pPr>
              <w:pStyle w:val="ListParagraph"/>
              <w:ind w:left="0"/>
            </w:pPr>
            <w:r w:rsidRPr="0042176A">
              <w:t>5369</w:t>
            </w:r>
          </w:p>
        </w:tc>
      </w:tr>
    </w:tbl>
    <w:p w14:paraId="39F55C5A" w14:textId="77777777" w:rsidR="00B74746" w:rsidRPr="00B74746" w:rsidRDefault="00B74746" w:rsidP="002C49AD">
      <w:pPr>
        <w:rPr>
          <w:b/>
        </w:rPr>
      </w:pPr>
    </w:p>
    <w:p w14:paraId="14E4CAC8" w14:textId="61E514AE" w:rsidR="00B74746" w:rsidRPr="009E2BBC" w:rsidRDefault="000014DE" w:rsidP="00B515D6">
      <w:pPr>
        <w:pStyle w:val="Heading2"/>
        <w:rPr>
          <w:b/>
        </w:rPr>
      </w:pPr>
      <w:r>
        <w:rPr>
          <w:b/>
        </w:rPr>
        <w:t xml:space="preserve">Appendix 1-Table 3. </w:t>
      </w:r>
      <w:r w:rsidRPr="00B515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Overall immunity against symptomatic malaria </w:t>
      </w:r>
      <w:r w:rsidR="00B74746" w:rsidRPr="00B515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Model fit</w:t>
      </w:r>
    </w:p>
    <w:p w14:paraId="28440538" w14:textId="77777777" w:rsidR="00B74746" w:rsidRPr="00E02CBE" w:rsidRDefault="00B74746" w:rsidP="002C49AD">
      <w:pPr>
        <w:pStyle w:val="ListParagraph"/>
        <w:ind w:left="0"/>
      </w:pPr>
    </w:p>
    <w:p w14:paraId="175630EC" w14:textId="77777777" w:rsidR="00B74746" w:rsidRDefault="00B74746" w:rsidP="002C49AD">
      <w:pPr>
        <w:pStyle w:val="ListParagraph"/>
        <w:ind w:left="0"/>
      </w:pPr>
    </w:p>
    <w:p w14:paraId="7F3340FB" w14:textId="77777777" w:rsidR="00B74746" w:rsidRDefault="00B74746" w:rsidP="002C49AD">
      <w:pPr>
        <w:pStyle w:val="ListParagraph"/>
        <w:ind w:left="0"/>
      </w:pPr>
    </w:p>
    <w:p w14:paraId="6A772ECE" w14:textId="77777777" w:rsidR="004175B1" w:rsidRDefault="004175B1" w:rsidP="002C49AD">
      <w:pPr>
        <w:pStyle w:val="ListParagraph"/>
        <w:ind w:left="0"/>
      </w:pPr>
    </w:p>
    <w:p w14:paraId="5E4DEB0F" w14:textId="5B55185A" w:rsidR="00075881" w:rsidRPr="00075881" w:rsidRDefault="00075881" w:rsidP="007E1553"/>
    <w:sectPr w:rsidR="00075881" w:rsidRPr="00075881" w:rsidSect="002C4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8F852" w14:textId="77777777" w:rsidR="00E76C07" w:rsidRDefault="00E76C07" w:rsidP="004B05BC">
      <w:r>
        <w:separator/>
      </w:r>
    </w:p>
  </w:endnote>
  <w:endnote w:type="continuationSeparator" w:id="0">
    <w:p w14:paraId="4A9E21D3" w14:textId="77777777" w:rsidR="00E76C07" w:rsidRDefault="00E76C07" w:rsidP="004B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Menlo">
    <w:charset w:val="00"/>
    <w:family w:val="auto"/>
    <w:pitch w:val="variable"/>
    <w:sig w:usb0="E60022FF" w:usb1="D200F9FB" w:usb2="02000028" w:usb3="00000000" w:csb0="000001D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D3BFC" w14:textId="77777777" w:rsidR="00E76C07" w:rsidRDefault="00E76C07" w:rsidP="004B05BC">
      <w:r>
        <w:separator/>
      </w:r>
    </w:p>
  </w:footnote>
  <w:footnote w:type="continuationSeparator" w:id="0">
    <w:p w14:paraId="30DE3C8B" w14:textId="77777777" w:rsidR="00E76C07" w:rsidRDefault="00E76C07" w:rsidP="004B0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837"/>
    <w:multiLevelType w:val="hybridMultilevel"/>
    <w:tmpl w:val="8D58E5B2"/>
    <w:lvl w:ilvl="0" w:tplc="0FD0F72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D4FE3"/>
    <w:multiLevelType w:val="hybridMultilevel"/>
    <w:tmpl w:val="9348AEB0"/>
    <w:lvl w:ilvl="0" w:tplc="81AAB3EA">
      <w:start w:val="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FA2528"/>
    <w:multiLevelType w:val="hybridMultilevel"/>
    <w:tmpl w:val="33C69CBA"/>
    <w:lvl w:ilvl="0" w:tplc="2280E82A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E42B15"/>
    <w:multiLevelType w:val="hybridMultilevel"/>
    <w:tmpl w:val="B65691F4"/>
    <w:lvl w:ilvl="0" w:tplc="F5CAE7AE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driguez-Barraquer, Isabel">
    <w15:presenceInfo w15:providerId="None" w15:userId="Rodriguez-Barraquer, Isab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8F"/>
    <w:rsid w:val="000014DE"/>
    <w:rsid w:val="00003F8E"/>
    <w:rsid w:val="00021BBD"/>
    <w:rsid w:val="00030AAC"/>
    <w:rsid w:val="00061798"/>
    <w:rsid w:val="00063D04"/>
    <w:rsid w:val="00075881"/>
    <w:rsid w:val="00085D1E"/>
    <w:rsid w:val="00086AFD"/>
    <w:rsid w:val="000A258A"/>
    <w:rsid w:val="000A2F4C"/>
    <w:rsid w:val="000C4514"/>
    <w:rsid w:val="000D624A"/>
    <w:rsid w:val="000E72CD"/>
    <w:rsid w:val="000F4E6F"/>
    <w:rsid w:val="000F7614"/>
    <w:rsid w:val="00110D95"/>
    <w:rsid w:val="0011723A"/>
    <w:rsid w:val="001213A0"/>
    <w:rsid w:val="00164E38"/>
    <w:rsid w:val="001772B0"/>
    <w:rsid w:val="00184555"/>
    <w:rsid w:val="00194C44"/>
    <w:rsid w:val="001D60DA"/>
    <w:rsid w:val="00214DD6"/>
    <w:rsid w:val="00247E69"/>
    <w:rsid w:val="00273EF2"/>
    <w:rsid w:val="00292BBE"/>
    <w:rsid w:val="002A5924"/>
    <w:rsid w:val="002A6102"/>
    <w:rsid w:val="002C2083"/>
    <w:rsid w:val="002C49AD"/>
    <w:rsid w:val="002C4D22"/>
    <w:rsid w:val="002D39D3"/>
    <w:rsid w:val="002E37F7"/>
    <w:rsid w:val="002F2FCB"/>
    <w:rsid w:val="002F5B8F"/>
    <w:rsid w:val="003112D6"/>
    <w:rsid w:val="00347395"/>
    <w:rsid w:val="00367D71"/>
    <w:rsid w:val="00383A2B"/>
    <w:rsid w:val="00394088"/>
    <w:rsid w:val="00396649"/>
    <w:rsid w:val="003B12C6"/>
    <w:rsid w:val="003E188D"/>
    <w:rsid w:val="003E4325"/>
    <w:rsid w:val="00400BE1"/>
    <w:rsid w:val="004175B1"/>
    <w:rsid w:val="0042176A"/>
    <w:rsid w:val="00460BD3"/>
    <w:rsid w:val="00467A9A"/>
    <w:rsid w:val="00490E99"/>
    <w:rsid w:val="0049386F"/>
    <w:rsid w:val="00495B79"/>
    <w:rsid w:val="00497D63"/>
    <w:rsid w:val="004B05BC"/>
    <w:rsid w:val="004F434D"/>
    <w:rsid w:val="00500158"/>
    <w:rsid w:val="005130C9"/>
    <w:rsid w:val="005249F5"/>
    <w:rsid w:val="00530F25"/>
    <w:rsid w:val="00552765"/>
    <w:rsid w:val="00554AC4"/>
    <w:rsid w:val="005975FF"/>
    <w:rsid w:val="005B160A"/>
    <w:rsid w:val="005B7DBC"/>
    <w:rsid w:val="005D2B2D"/>
    <w:rsid w:val="005E07E7"/>
    <w:rsid w:val="005E4E65"/>
    <w:rsid w:val="00602A91"/>
    <w:rsid w:val="0064645B"/>
    <w:rsid w:val="006644F8"/>
    <w:rsid w:val="006869D4"/>
    <w:rsid w:val="006A3885"/>
    <w:rsid w:val="006E5EC4"/>
    <w:rsid w:val="00713EA8"/>
    <w:rsid w:val="007167A5"/>
    <w:rsid w:val="00731582"/>
    <w:rsid w:val="00734965"/>
    <w:rsid w:val="00740207"/>
    <w:rsid w:val="007837D4"/>
    <w:rsid w:val="007A4D80"/>
    <w:rsid w:val="007B166B"/>
    <w:rsid w:val="007E1553"/>
    <w:rsid w:val="007F408F"/>
    <w:rsid w:val="0080621A"/>
    <w:rsid w:val="008353DF"/>
    <w:rsid w:val="00851B04"/>
    <w:rsid w:val="00851F60"/>
    <w:rsid w:val="0085319A"/>
    <w:rsid w:val="00876F4A"/>
    <w:rsid w:val="008836F9"/>
    <w:rsid w:val="00895D46"/>
    <w:rsid w:val="00896AA6"/>
    <w:rsid w:val="008A56AE"/>
    <w:rsid w:val="008D509C"/>
    <w:rsid w:val="008E2C8B"/>
    <w:rsid w:val="008E3D91"/>
    <w:rsid w:val="00901432"/>
    <w:rsid w:val="0090448C"/>
    <w:rsid w:val="009466FB"/>
    <w:rsid w:val="00960389"/>
    <w:rsid w:val="009741EA"/>
    <w:rsid w:val="00991DB5"/>
    <w:rsid w:val="00996781"/>
    <w:rsid w:val="009B21A9"/>
    <w:rsid w:val="009D7627"/>
    <w:rsid w:val="009E2BBC"/>
    <w:rsid w:val="009E3DB2"/>
    <w:rsid w:val="009F02E0"/>
    <w:rsid w:val="009F66D3"/>
    <w:rsid w:val="00A208B3"/>
    <w:rsid w:val="00A50FCF"/>
    <w:rsid w:val="00A65ED5"/>
    <w:rsid w:val="00A67E70"/>
    <w:rsid w:val="00A76164"/>
    <w:rsid w:val="00A8472A"/>
    <w:rsid w:val="00A90EF4"/>
    <w:rsid w:val="00A95D4E"/>
    <w:rsid w:val="00A974B6"/>
    <w:rsid w:val="00AA2C90"/>
    <w:rsid w:val="00AA708F"/>
    <w:rsid w:val="00AB01BD"/>
    <w:rsid w:val="00AD0216"/>
    <w:rsid w:val="00AD239C"/>
    <w:rsid w:val="00B22170"/>
    <w:rsid w:val="00B412B4"/>
    <w:rsid w:val="00B515D6"/>
    <w:rsid w:val="00B5775B"/>
    <w:rsid w:val="00B66404"/>
    <w:rsid w:val="00B74746"/>
    <w:rsid w:val="00B935DB"/>
    <w:rsid w:val="00B94763"/>
    <w:rsid w:val="00BD633A"/>
    <w:rsid w:val="00BE4D8E"/>
    <w:rsid w:val="00C0430D"/>
    <w:rsid w:val="00C04362"/>
    <w:rsid w:val="00C04F2D"/>
    <w:rsid w:val="00C10850"/>
    <w:rsid w:val="00C32542"/>
    <w:rsid w:val="00C45613"/>
    <w:rsid w:val="00C66140"/>
    <w:rsid w:val="00C8437A"/>
    <w:rsid w:val="00C927E4"/>
    <w:rsid w:val="00C964AA"/>
    <w:rsid w:val="00CA0282"/>
    <w:rsid w:val="00CA5147"/>
    <w:rsid w:val="00CB0485"/>
    <w:rsid w:val="00CC0283"/>
    <w:rsid w:val="00CC379C"/>
    <w:rsid w:val="00CE252D"/>
    <w:rsid w:val="00CF3DC0"/>
    <w:rsid w:val="00D3333D"/>
    <w:rsid w:val="00D40477"/>
    <w:rsid w:val="00D42412"/>
    <w:rsid w:val="00D57DC2"/>
    <w:rsid w:val="00D6663F"/>
    <w:rsid w:val="00D75431"/>
    <w:rsid w:val="00D866D4"/>
    <w:rsid w:val="00DB01EA"/>
    <w:rsid w:val="00DC1638"/>
    <w:rsid w:val="00DC33AB"/>
    <w:rsid w:val="00DF15C2"/>
    <w:rsid w:val="00DF3FE3"/>
    <w:rsid w:val="00DF6B91"/>
    <w:rsid w:val="00E225D7"/>
    <w:rsid w:val="00E57CE8"/>
    <w:rsid w:val="00E60C1C"/>
    <w:rsid w:val="00E62A4B"/>
    <w:rsid w:val="00E733D2"/>
    <w:rsid w:val="00E76C07"/>
    <w:rsid w:val="00E77098"/>
    <w:rsid w:val="00E80CC8"/>
    <w:rsid w:val="00E84D34"/>
    <w:rsid w:val="00E87436"/>
    <w:rsid w:val="00E87CD0"/>
    <w:rsid w:val="00EA25D3"/>
    <w:rsid w:val="00EA6BBE"/>
    <w:rsid w:val="00EA6EF9"/>
    <w:rsid w:val="00EC660B"/>
    <w:rsid w:val="00ED145F"/>
    <w:rsid w:val="00EE76D2"/>
    <w:rsid w:val="00EE7717"/>
    <w:rsid w:val="00F03075"/>
    <w:rsid w:val="00F06A93"/>
    <w:rsid w:val="00F42897"/>
    <w:rsid w:val="00F529F8"/>
    <w:rsid w:val="00FC221C"/>
    <w:rsid w:val="00FE67FC"/>
    <w:rsid w:val="00FF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11810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8F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9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E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B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BB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BC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9E2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90448C"/>
    <w:pPr>
      <w:shd w:val="clear" w:color="auto" w:fill="FFFFFF"/>
    </w:pPr>
    <w:rPr>
      <w:rFonts w:ascii="Menlo" w:eastAsiaTheme="minorHAnsi" w:hAnsi="Menlo" w:cs="Menlo"/>
      <w:color w:val="000000"/>
      <w:sz w:val="17"/>
      <w:szCs w:val="17"/>
    </w:rPr>
  </w:style>
  <w:style w:type="character" w:customStyle="1" w:styleId="s1">
    <w:name w:val="s1"/>
    <w:basedOn w:val="DefaultParagraphFont"/>
    <w:rsid w:val="0090448C"/>
  </w:style>
  <w:style w:type="character" w:styleId="PlaceholderText">
    <w:name w:val="Placeholder Text"/>
    <w:basedOn w:val="DefaultParagraphFont"/>
    <w:uiPriority w:val="99"/>
    <w:semiHidden/>
    <w:rsid w:val="00713EA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B05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5BC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05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5BC"/>
    <w:rPr>
      <w:rFonts w:ascii="Times New Roman" w:eastAsiaTheme="minorEastAsia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49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90E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E84D34"/>
    <w:pPr>
      <w:tabs>
        <w:tab w:val="right" w:leader="dot" w:pos="9350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552765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52765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552765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552765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552765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552765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52765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552765"/>
    <w:pPr>
      <w:ind w:left="19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8F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9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E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B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BB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BC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9E2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90448C"/>
    <w:pPr>
      <w:shd w:val="clear" w:color="auto" w:fill="FFFFFF"/>
    </w:pPr>
    <w:rPr>
      <w:rFonts w:ascii="Menlo" w:eastAsiaTheme="minorHAnsi" w:hAnsi="Menlo" w:cs="Menlo"/>
      <w:color w:val="000000"/>
      <w:sz w:val="17"/>
      <w:szCs w:val="17"/>
    </w:rPr>
  </w:style>
  <w:style w:type="character" w:customStyle="1" w:styleId="s1">
    <w:name w:val="s1"/>
    <w:basedOn w:val="DefaultParagraphFont"/>
    <w:rsid w:val="0090448C"/>
  </w:style>
  <w:style w:type="character" w:styleId="PlaceholderText">
    <w:name w:val="Placeholder Text"/>
    <w:basedOn w:val="DefaultParagraphFont"/>
    <w:uiPriority w:val="99"/>
    <w:semiHidden/>
    <w:rsid w:val="00713EA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B05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5BC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05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5BC"/>
    <w:rPr>
      <w:rFonts w:ascii="Times New Roman" w:eastAsiaTheme="minorEastAsia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49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90E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E84D34"/>
    <w:pPr>
      <w:tabs>
        <w:tab w:val="right" w:leader="dot" w:pos="9350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552765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52765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552765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552765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552765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552765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52765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552765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3854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Rodriguez-Barraquer</dc:creator>
  <cp:keywords/>
  <dc:description/>
  <cp:lastModifiedBy>Susanna</cp:lastModifiedBy>
  <cp:revision>3</cp:revision>
  <dcterms:created xsi:type="dcterms:W3CDTF">2018-07-17T17:56:00Z</dcterms:created>
  <dcterms:modified xsi:type="dcterms:W3CDTF">2018-07-18T08:18:00Z</dcterms:modified>
</cp:coreProperties>
</file>