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65BE2D1C" w14:textId="77777777" w:rsidR="00B447AA" w:rsidRPr="00E1751B" w:rsidRDefault="00B447AA" w:rsidP="00B447AA">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Arial" w:hAnsi="Arial" w:cs="Arial"/>
          <w:b/>
          <w:sz w:val="22"/>
          <w:szCs w:val="22"/>
        </w:rPr>
      </w:pPr>
      <w:r w:rsidRPr="00697BF0">
        <w:rPr>
          <w:rFonts w:ascii="Arial" w:hAnsi="Arial" w:cs="Arial"/>
          <w:sz w:val="22"/>
          <w:szCs w:val="22"/>
        </w:rPr>
        <w:t>Power calculation was performed using Wilcoxon rank-sum method assuming non-normal distribution of the outcome</w:t>
      </w:r>
      <w:r>
        <w:rPr>
          <w:rFonts w:ascii="Arial" w:hAnsi="Arial" w:cs="Arial"/>
          <w:sz w:val="22"/>
          <w:szCs w:val="22"/>
        </w:rPr>
        <w:t xml:space="preserve"> with the help of the Harvard Catalyst Biostatistics Core</w:t>
      </w:r>
      <w:r w:rsidRPr="00697BF0">
        <w:rPr>
          <w:rFonts w:ascii="Arial" w:hAnsi="Arial" w:cs="Arial"/>
          <w:sz w:val="22"/>
          <w:szCs w:val="22"/>
        </w:rPr>
        <w:t xml:space="preserve">. A sample </w:t>
      </w:r>
      <w:r>
        <w:rPr>
          <w:rFonts w:ascii="Arial" w:hAnsi="Arial" w:cs="Arial"/>
          <w:sz w:val="22"/>
          <w:szCs w:val="22"/>
        </w:rPr>
        <w:t>size of 10</w:t>
      </w:r>
      <w:r w:rsidRPr="00697BF0">
        <w:rPr>
          <w:rFonts w:ascii="Arial" w:hAnsi="Arial" w:cs="Arial"/>
          <w:sz w:val="22"/>
          <w:szCs w:val="22"/>
        </w:rPr>
        <w:t xml:space="preserve"> animals in each group will allow us to detect a difference between two groups with a two-sided alpha of 0.05 and a power of at least 84%. The sample size calculation accounts for 12.5% loss due to animals that did not receive the proper dose of the virus because of misplacement of the injection site or adverse reaction to the injection. These possible non-responders will be determined post mortem as described in the proposal.  The calculation was performed using </w:t>
      </w:r>
      <w:proofErr w:type="spellStart"/>
      <w:r w:rsidRPr="00697BF0">
        <w:rPr>
          <w:rFonts w:ascii="Arial" w:hAnsi="Arial" w:cs="Arial"/>
          <w:sz w:val="22"/>
          <w:szCs w:val="22"/>
        </w:rPr>
        <w:t>nQuery</w:t>
      </w:r>
      <w:proofErr w:type="spellEnd"/>
      <w:r w:rsidRPr="00697BF0">
        <w:rPr>
          <w:rFonts w:ascii="Arial" w:hAnsi="Arial" w:cs="Arial"/>
          <w:sz w:val="22"/>
          <w:szCs w:val="22"/>
        </w:rPr>
        <w:t xml:space="preserve"> Adviser® v 7.0. </w:t>
      </w:r>
      <w:r w:rsidRPr="00697BF0">
        <w:rPr>
          <w:rFonts w:ascii="Arial" w:hAnsi="Arial" w:cs="Arial"/>
          <w:bCs/>
          <w:sz w:val="22"/>
          <w:szCs w:val="22"/>
        </w:rPr>
        <w:t xml:space="preserve">In experiments where two groups are compared, student </w:t>
      </w:r>
      <w:r w:rsidRPr="00697BF0">
        <w:rPr>
          <w:rFonts w:ascii="Arial" w:hAnsi="Arial" w:cs="Arial"/>
          <w:bCs/>
          <w:i/>
          <w:sz w:val="22"/>
          <w:szCs w:val="22"/>
        </w:rPr>
        <w:t>t</w:t>
      </w:r>
      <w:r w:rsidRPr="00697BF0">
        <w:rPr>
          <w:rFonts w:ascii="Arial" w:hAnsi="Arial" w:cs="Arial"/>
          <w:bCs/>
          <w:sz w:val="22"/>
          <w:szCs w:val="22"/>
        </w:rPr>
        <w:t xml:space="preserve">-test will be performed. For comparisons of more than two groups, the statistical level will be determined using ANOVA followed by the corresponding </w:t>
      </w:r>
      <w:r w:rsidRPr="00697BF0">
        <w:rPr>
          <w:rFonts w:ascii="Arial" w:hAnsi="Arial" w:cs="Arial"/>
          <w:bCs/>
          <w:i/>
          <w:sz w:val="22"/>
          <w:szCs w:val="22"/>
        </w:rPr>
        <w:t>post hoc</w:t>
      </w:r>
      <w:r w:rsidRPr="00697BF0">
        <w:rPr>
          <w:rFonts w:ascii="Arial" w:hAnsi="Arial" w:cs="Arial"/>
          <w:bCs/>
          <w:sz w:val="22"/>
          <w:szCs w:val="22"/>
        </w:rPr>
        <w:t xml:space="preserve"> test depending on what kind of ANOVA (One Way or Two Way) is used.  </w:t>
      </w:r>
    </w:p>
    <w:p w14:paraId="283305D7" w14:textId="77777777" w:rsidR="00877644" w:rsidRPr="00125190" w:rsidRDefault="0087764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45F522B" w:rsidR="00B330BD" w:rsidRPr="00125190" w:rsidRDefault="00B447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This information is included for each experiment in the methods and the specific statistical analysis indicated in the figure legend. Animals without proper stereotactic injection in the targeted brain area (assessed post-mortem) were excluded from the experiment.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BA0A89D" w:rsidR="0015519A" w:rsidRPr="00505C51" w:rsidRDefault="00B447A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Description of the statistical analysis was included in the methods and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F8BA67" w:rsidR="00BC3CCE" w:rsidRPr="00D572BA" w:rsidRDefault="00D572B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sz w:val="22"/>
          <w:szCs w:val="22"/>
        </w:rPr>
        <w:t xml:space="preserve">Animals were randomized into each </w:t>
      </w:r>
      <w:r w:rsidRPr="00D572BA">
        <w:rPr>
          <w:rFonts w:asciiTheme="minorHAnsi" w:hAnsiTheme="minorHAnsi" w:cstheme="minorHAnsi"/>
          <w:sz w:val="22"/>
          <w:szCs w:val="22"/>
        </w:rPr>
        <w:t xml:space="preserve">experimental group. </w:t>
      </w:r>
      <w:r w:rsidRPr="00D572BA">
        <w:rPr>
          <w:rFonts w:asciiTheme="minorHAnsi" w:hAnsiTheme="minorHAnsi" w:cstheme="minorHAnsi"/>
          <w:sz w:val="22"/>
          <w:szCs w:val="22"/>
        </w:rPr>
        <w:t xml:space="preserve">All samples for analysis are coded such that phenotyping and ISH/IHC are done blind to treatments. The code is only broken at the end of an experiment to allow assignment of final data to groups. For </w:t>
      </w:r>
      <w:r w:rsidRPr="00D572BA">
        <w:rPr>
          <w:rFonts w:asciiTheme="minorHAnsi" w:hAnsiTheme="minorHAnsi" w:cstheme="minorHAnsi"/>
          <w:i/>
          <w:sz w:val="22"/>
          <w:szCs w:val="22"/>
        </w:rPr>
        <w:t>in vivo</w:t>
      </w:r>
      <w:r w:rsidRPr="00D572BA">
        <w:rPr>
          <w:rFonts w:asciiTheme="minorHAnsi" w:hAnsiTheme="minorHAnsi" w:cstheme="minorHAnsi"/>
          <w:sz w:val="22"/>
          <w:szCs w:val="22"/>
        </w:rPr>
        <w:t xml:space="preserve"> experiments that are performed on different days, animals from different groups will be mixed so any potential variation in the response of the animals due to time is normalized across all groups.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DCDBB18" w:rsidR="00BC3CCE" w:rsidRPr="00505C51" w:rsidRDefault="0057353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Figures of numerical data were created and analyzed</w:t>
      </w:r>
      <w:bookmarkStart w:id="0" w:name="_GoBack"/>
      <w:bookmarkEnd w:id="0"/>
      <w:r>
        <w:rPr>
          <w:rFonts w:asciiTheme="minorHAnsi" w:hAnsiTheme="minorHAnsi"/>
          <w:sz w:val="22"/>
          <w:szCs w:val="22"/>
        </w:rPr>
        <w:t xml:space="preserve"> using Graph Pad Prism.</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09B859" w14:textId="77777777" w:rsidR="00F82BDC" w:rsidRDefault="00F82BDC" w:rsidP="004215FE">
      <w:r>
        <w:separator/>
      </w:r>
    </w:p>
  </w:endnote>
  <w:endnote w:type="continuationSeparator" w:id="0">
    <w:p w14:paraId="7BBA1FEF" w14:textId="77777777" w:rsidR="00F82BDC" w:rsidRDefault="00F82BD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BD4D5" w14:textId="77777777" w:rsidR="00F82BDC" w:rsidRDefault="00F82BDC" w:rsidP="004215FE">
      <w:r>
        <w:separator/>
      </w:r>
    </w:p>
  </w:footnote>
  <w:footnote w:type="continuationSeparator" w:id="0">
    <w:p w14:paraId="390C730E" w14:textId="77777777" w:rsidR="00F82BDC" w:rsidRDefault="00F82BD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353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47AA"/>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72BA"/>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2BDC"/>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84CA096-0651-1345-A1BA-E22ED5F9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0BBA2-2710-4E4C-8AD4-566A5CF29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941</Words>
  <Characters>5366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2018-02-28T20:33:00Z</dcterms:created>
  <dcterms:modified xsi:type="dcterms:W3CDTF">2018-02-28T20:41:00Z</dcterms:modified>
</cp:coreProperties>
</file>