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56771" w:rsidRDefault="00E565CE">
      <w:r>
        <w:rPr>
          <w:rFonts w:ascii="Helvetica" w:hAnsi="Helvetica" w:cs="Arial"/>
          <w:b/>
          <w:noProof/>
        </w:rPr>
        <w:drawing>
          <wp:inline distT="0" distB="0" distL="0" distR="0" wp14:anchorId="3B279A23" wp14:editId="795110FF">
            <wp:extent cx="5943600" cy="75431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S3.png"/>
                    <pic:cNvPicPr/>
                  </pic:nvPicPr>
                  <pic:blipFill>
                    <a:blip r:embed="rId4">
                      <a:extLst>
                        <a:ext uri="{28A0092B-C50C-407E-A947-70E740481C1C}">
                          <a14:useLocalDpi xmlns:a14="http://schemas.microsoft.com/office/drawing/2010/main" val="0"/>
                        </a:ext>
                      </a:extLst>
                    </a:blip>
                    <a:stretch>
                      <a:fillRect/>
                    </a:stretch>
                  </pic:blipFill>
                  <pic:spPr>
                    <a:xfrm>
                      <a:off x="0" y="0"/>
                      <a:ext cx="5943600" cy="7543092"/>
                    </a:xfrm>
                    <a:prstGeom prst="rect">
                      <a:avLst/>
                    </a:prstGeom>
                  </pic:spPr>
                </pic:pic>
              </a:graphicData>
            </a:graphic>
          </wp:inline>
        </w:drawing>
      </w:r>
      <w:bookmarkStart w:id="0" w:name="_GoBack"/>
      <w:bookmarkEnd w:id="0"/>
    </w:p>
    <w:p w:rsidR="00E565CE" w:rsidRPr="005A536E" w:rsidRDefault="00FA5C4B" w:rsidP="00E565CE">
      <w:pPr>
        <w:jc w:val="both"/>
        <w:rPr>
          <w:rFonts w:ascii="Helvetica" w:hAnsi="Helvetica" w:cs="Arial"/>
          <w:b/>
          <w:lang w:eastAsia="zh-CN"/>
        </w:rPr>
      </w:pPr>
      <w:r>
        <w:rPr>
          <w:rFonts w:ascii="Helvetica" w:hAnsi="Helvetica" w:cs="Arial"/>
          <w:b/>
          <w:lang w:eastAsia="zh-CN"/>
        </w:rPr>
        <w:t>Figure 2</w:t>
      </w:r>
      <w:r w:rsidR="00E565CE">
        <w:rPr>
          <w:rFonts w:ascii="Helvetica" w:hAnsi="Helvetica" w:cs="Arial"/>
          <w:b/>
          <w:lang w:eastAsia="zh-CN"/>
        </w:rPr>
        <w:t xml:space="preserve"> – figure supplement 2</w:t>
      </w:r>
      <w:r w:rsidR="00E565CE" w:rsidRPr="005A536E">
        <w:rPr>
          <w:rFonts w:ascii="Helvetica" w:hAnsi="Helvetica" w:cs="Arial"/>
          <w:b/>
          <w:lang w:eastAsia="zh-CN"/>
        </w:rPr>
        <w:t xml:space="preserve"> Additional evidence that validates </w:t>
      </w:r>
      <w:r w:rsidR="00E565CE" w:rsidRPr="005A536E">
        <w:rPr>
          <w:rFonts w:ascii="Helvetica" w:hAnsi="Helvetica" w:cs="Arial"/>
          <w:b/>
          <w:i/>
          <w:lang w:eastAsia="zh-CN"/>
        </w:rPr>
        <w:t>SLC37A3</w:t>
      </w:r>
      <w:r w:rsidR="00E565CE" w:rsidRPr="005A536E">
        <w:rPr>
          <w:rFonts w:ascii="Helvetica" w:hAnsi="Helvetica" w:cs="Arial"/>
          <w:b/>
          <w:lang w:eastAsia="zh-CN"/>
        </w:rPr>
        <w:t xml:space="preserve"> and </w:t>
      </w:r>
      <w:r w:rsidR="00E565CE" w:rsidRPr="005A536E">
        <w:rPr>
          <w:rFonts w:ascii="Helvetica" w:hAnsi="Helvetica" w:cs="Arial"/>
          <w:b/>
          <w:i/>
          <w:lang w:eastAsia="zh-CN"/>
        </w:rPr>
        <w:t>ATRAID</w:t>
      </w:r>
      <w:r w:rsidR="00E565CE" w:rsidRPr="005A536E">
        <w:rPr>
          <w:rFonts w:ascii="Helvetica" w:hAnsi="Helvetica" w:cs="Arial"/>
          <w:b/>
          <w:lang w:eastAsia="zh-CN"/>
        </w:rPr>
        <w:t xml:space="preserve"> as functionally related genes required for the mechanism of action of N-BPs. </w:t>
      </w:r>
      <w:r w:rsidR="00E565CE" w:rsidRPr="005A536E">
        <w:rPr>
          <w:rFonts w:ascii="Helvetica" w:hAnsi="Helvetica" w:cs="Arial"/>
          <w:lang w:eastAsia="zh-CN"/>
        </w:rPr>
        <w:t>(</w:t>
      </w:r>
      <w:r w:rsidR="00E565CE" w:rsidRPr="005A536E">
        <w:rPr>
          <w:rFonts w:ascii="Helvetica" w:hAnsi="Helvetica" w:cs="Arial"/>
          <w:b/>
          <w:lang w:eastAsia="zh-CN"/>
        </w:rPr>
        <w:t>A</w:t>
      </w:r>
      <w:r w:rsidR="00E565CE" w:rsidRPr="005A536E">
        <w:rPr>
          <w:rFonts w:ascii="Helvetica" w:hAnsi="Helvetica" w:cs="Arial"/>
          <w:lang w:eastAsia="zh-CN"/>
        </w:rPr>
        <w:t>)</w:t>
      </w:r>
      <w:r w:rsidR="00E565CE" w:rsidRPr="005A536E">
        <w:rPr>
          <w:rFonts w:ascii="Helvetica" w:hAnsi="Helvetica" w:cs="Arial"/>
          <w:b/>
          <w:lang w:eastAsia="zh-CN"/>
        </w:rPr>
        <w:t xml:space="preserve"> </w:t>
      </w:r>
      <w:r w:rsidR="00E565CE" w:rsidRPr="005A536E">
        <w:rPr>
          <w:rFonts w:ascii="Helvetica" w:hAnsi="Helvetica" w:cs="Arial"/>
          <w:lang w:eastAsia="zh-CN"/>
        </w:rPr>
        <w:t>Expression of osteoclast markers (</w:t>
      </w:r>
      <w:proofErr w:type="spellStart"/>
      <w:r w:rsidR="00E565CE" w:rsidRPr="005A536E">
        <w:rPr>
          <w:rFonts w:ascii="Helvetica" w:hAnsi="Helvetica" w:cs="Arial"/>
          <w:i/>
          <w:lang w:eastAsia="zh-CN"/>
        </w:rPr>
        <w:t>Ctsk</w:t>
      </w:r>
      <w:proofErr w:type="spellEnd"/>
      <w:r w:rsidR="00E565CE" w:rsidRPr="005A536E">
        <w:rPr>
          <w:rFonts w:ascii="Helvetica" w:hAnsi="Helvetica" w:cs="Arial"/>
          <w:i/>
          <w:lang w:eastAsia="zh-CN"/>
        </w:rPr>
        <w:t xml:space="preserve">, Rank </w:t>
      </w:r>
      <w:r w:rsidR="00E565CE" w:rsidRPr="005A536E">
        <w:rPr>
          <w:rFonts w:ascii="Helvetica" w:hAnsi="Helvetica" w:cs="Arial"/>
          <w:lang w:eastAsia="zh-CN"/>
        </w:rPr>
        <w:t xml:space="preserve">and </w:t>
      </w:r>
      <w:r w:rsidR="00E565CE" w:rsidRPr="005A536E">
        <w:rPr>
          <w:rFonts w:ascii="Helvetica" w:hAnsi="Helvetica" w:cs="Arial"/>
          <w:i/>
          <w:lang w:eastAsia="zh-CN"/>
        </w:rPr>
        <w:t>Trap</w:t>
      </w:r>
      <w:r w:rsidR="00E565CE" w:rsidRPr="005A536E">
        <w:rPr>
          <w:rFonts w:ascii="Helvetica" w:hAnsi="Helvetica" w:cs="Arial"/>
          <w:lang w:eastAsia="zh-CN"/>
        </w:rPr>
        <w:t>) in undifferentiated RAW macrophages (</w:t>
      </w:r>
      <w:proofErr w:type="spellStart"/>
      <w:r w:rsidR="00E565CE" w:rsidRPr="005A536E">
        <w:rPr>
          <w:rFonts w:ascii="Helvetica" w:hAnsi="Helvetica" w:cs="Arial"/>
          <w:lang w:eastAsia="zh-CN"/>
        </w:rPr>
        <w:t>M</w:t>
      </w:r>
      <w:r w:rsidR="00E565CE" w:rsidRPr="005A536E">
        <w:rPr>
          <w:rFonts w:ascii="Calibri" w:hAnsi="Calibri" w:cs="Calibri"/>
          <w:lang w:eastAsia="zh-CN"/>
        </w:rPr>
        <w:t>φ</w:t>
      </w:r>
      <w:proofErr w:type="spellEnd"/>
      <w:r w:rsidR="00E565CE" w:rsidRPr="005A536E">
        <w:rPr>
          <w:rFonts w:ascii="Helvetica" w:hAnsi="Helvetica" w:cs="Arial"/>
          <w:lang w:eastAsia="zh-CN"/>
        </w:rPr>
        <w:t xml:space="preserve">) and </w:t>
      </w:r>
      <w:r w:rsidR="00E565CE" w:rsidRPr="005A536E">
        <w:rPr>
          <w:rFonts w:ascii="Helvetica" w:hAnsi="Helvetica" w:cs="Arial"/>
          <w:lang w:eastAsia="zh-CN"/>
        </w:rPr>
        <w:lastRenderedPageBreak/>
        <w:t>differentiated RAW osteoclasts (OC), demonstrating successful differentiation of RAW cells. (</w:t>
      </w:r>
      <w:r w:rsidR="00E565CE" w:rsidRPr="005A536E">
        <w:rPr>
          <w:rFonts w:ascii="Helvetica" w:hAnsi="Helvetica" w:cs="Arial"/>
          <w:b/>
          <w:lang w:eastAsia="zh-CN"/>
        </w:rPr>
        <w:t>B</w:t>
      </w:r>
      <w:r w:rsidR="00E565CE" w:rsidRPr="005A536E">
        <w:rPr>
          <w:rFonts w:ascii="Helvetica" w:hAnsi="Helvetica" w:cs="Arial"/>
          <w:lang w:eastAsia="zh-CN"/>
        </w:rPr>
        <w:t>-</w:t>
      </w:r>
      <w:r w:rsidR="00E565CE" w:rsidRPr="005A536E">
        <w:rPr>
          <w:rFonts w:ascii="Helvetica" w:hAnsi="Helvetica" w:cs="Arial"/>
          <w:b/>
          <w:lang w:eastAsia="zh-CN"/>
        </w:rPr>
        <w:t>C</w:t>
      </w:r>
      <w:r w:rsidR="00E565CE" w:rsidRPr="005A536E">
        <w:rPr>
          <w:rFonts w:ascii="Helvetica" w:hAnsi="Helvetica" w:cs="Arial"/>
          <w:lang w:eastAsia="zh-CN"/>
        </w:rPr>
        <w:t xml:space="preserve">) Dose responses to alendronate in </w:t>
      </w:r>
      <w:r w:rsidR="00E565CE" w:rsidRPr="005A536E">
        <w:rPr>
          <w:rFonts w:ascii="Helvetica" w:hAnsi="Helvetica" w:cs="Arial"/>
          <w:i/>
          <w:lang w:eastAsia="zh-CN"/>
        </w:rPr>
        <w:t>SLC37A3</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or </w:t>
      </w:r>
      <w:r w:rsidR="00E565CE" w:rsidRPr="005A536E">
        <w:rPr>
          <w:rFonts w:ascii="Helvetica" w:hAnsi="Helvetica" w:cs="Arial"/>
          <w:i/>
          <w:lang w:eastAsia="zh-CN"/>
        </w:rPr>
        <w:t>ATRAID</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HEK 293T cells complemented with epitope tagged SLC37A3 or ATRAID, respectively, compared with those in wild-type, </w:t>
      </w:r>
      <w:r w:rsidR="00E565CE" w:rsidRPr="005A536E">
        <w:rPr>
          <w:rFonts w:ascii="Helvetica" w:hAnsi="Helvetica" w:cs="Arial"/>
          <w:i/>
          <w:lang w:eastAsia="zh-CN"/>
        </w:rPr>
        <w:t>ATRAID</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and </w:t>
      </w:r>
      <w:r w:rsidR="00E565CE" w:rsidRPr="005A536E">
        <w:rPr>
          <w:rFonts w:ascii="Helvetica" w:hAnsi="Helvetica" w:cs="Arial"/>
          <w:i/>
          <w:lang w:eastAsia="zh-CN"/>
        </w:rPr>
        <w:t>SLC37A3</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cells. (</w:t>
      </w:r>
      <w:r w:rsidR="00E565CE" w:rsidRPr="005A536E">
        <w:rPr>
          <w:rFonts w:ascii="Helvetica" w:hAnsi="Helvetica" w:cs="Arial"/>
          <w:b/>
          <w:lang w:eastAsia="zh-CN"/>
        </w:rPr>
        <w:t>D</w:t>
      </w:r>
      <w:r w:rsidR="00E565CE" w:rsidRPr="005A536E">
        <w:rPr>
          <w:rFonts w:ascii="Helvetica" w:hAnsi="Helvetica" w:cs="Arial"/>
          <w:lang w:eastAsia="zh-CN"/>
        </w:rPr>
        <w:t>) Immunoblot comparing the short isoform of ATRAID (</w:t>
      </w:r>
      <w:proofErr w:type="spellStart"/>
      <w:r w:rsidR="00E565CE" w:rsidRPr="005A536E">
        <w:rPr>
          <w:rFonts w:ascii="Helvetica" w:hAnsi="Helvetica" w:cs="Arial"/>
          <w:lang w:eastAsia="zh-CN"/>
        </w:rPr>
        <w:t>sATRAID</w:t>
      </w:r>
      <w:proofErr w:type="spellEnd"/>
      <w:r w:rsidR="00E565CE" w:rsidRPr="005A536E">
        <w:rPr>
          <w:rFonts w:ascii="Helvetica" w:hAnsi="Helvetica" w:cs="Arial"/>
          <w:lang w:eastAsia="zh-CN"/>
        </w:rPr>
        <w:t>) with the long isoform of ATRAID (</w:t>
      </w:r>
      <w:proofErr w:type="spellStart"/>
      <w:r w:rsidR="00E565CE" w:rsidRPr="005A536E">
        <w:rPr>
          <w:rFonts w:ascii="Helvetica" w:hAnsi="Helvetica" w:cs="Arial"/>
          <w:lang w:eastAsia="zh-CN"/>
        </w:rPr>
        <w:t>lATRAID</w:t>
      </w:r>
      <w:proofErr w:type="spellEnd"/>
      <w:r w:rsidR="00E565CE" w:rsidRPr="005A536E">
        <w:rPr>
          <w:rFonts w:ascii="Helvetica" w:hAnsi="Helvetica" w:cs="Arial"/>
          <w:lang w:eastAsia="zh-CN"/>
        </w:rPr>
        <w:t>), showing that the long isoform of ATRAID is expressed as the same protein as the short isoform of ATRAID. Note that unequal amount of protein was loaded in each lane to obtain even exposure. The amount of protein loaded from left to right was: 100 µg, 40 µg, 10 µg and 4 µg, respectively. (</w:t>
      </w:r>
      <w:r w:rsidR="00E565CE" w:rsidRPr="005A536E">
        <w:rPr>
          <w:rFonts w:ascii="Helvetica" w:hAnsi="Helvetica" w:cs="Arial"/>
          <w:b/>
          <w:lang w:eastAsia="zh-CN"/>
        </w:rPr>
        <w:t>E</w:t>
      </w:r>
      <w:r w:rsidR="00E565CE" w:rsidRPr="005A536E">
        <w:rPr>
          <w:rFonts w:ascii="Helvetica" w:hAnsi="Helvetica" w:cs="Arial"/>
          <w:lang w:eastAsia="zh-CN"/>
        </w:rPr>
        <w:t>-</w:t>
      </w:r>
      <w:r w:rsidR="00E565CE" w:rsidRPr="005A536E">
        <w:rPr>
          <w:rFonts w:ascii="Helvetica" w:hAnsi="Helvetica" w:cs="Arial"/>
          <w:b/>
          <w:lang w:eastAsia="zh-CN"/>
        </w:rPr>
        <w:t>F</w:t>
      </w:r>
      <w:r w:rsidR="00E565CE" w:rsidRPr="005A536E">
        <w:rPr>
          <w:rFonts w:ascii="Helvetica" w:hAnsi="Helvetica" w:cs="Arial"/>
          <w:lang w:eastAsia="zh-CN"/>
        </w:rPr>
        <w:t>)</w:t>
      </w:r>
      <w:r w:rsidR="00E565CE" w:rsidRPr="005A536E">
        <w:rPr>
          <w:rFonts w:ascii="Helvetica" w:hAnsi="Helvetica" w:cs="Arial"/>
          <w:b/>
          <w:lang w:eastAsia="zh-CN"/>
        </w:rPr>
        <w:t xml:space="preserve"> </w:t>
      </w:r>
      <w:r w:rsidR="00E565CE" w:rsidRPr="005A536E">
        <w:rPr>
          <w:rFonts w:ascii="Helvetica" w:hAnsi="Helvetica" w:cs="Arial"/>
          <w:lang w:eastAsia="zh-CN"/>
        </w:rPr>
        <w:t xml:space="preserve">Dose response curves of wild-type, </w:t>
      </w:r>
      <w:r w:rsidR="00E565CE" w:rsidRPr="005A536E">
        <w:rPr>
          <w:rFonts w:ascii="Helvetica" w:hAnsi="Helvetica" w:cs="Arial"/>
          <w:i/>
          <w:lang w:eastAsia="zh-CN"/>
        </w:rPr>
        <w:t>ATRAID</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and </w:t>
      </w:r>
      <w:r w:rsidR="00E565CE" w:rsidRPr="005A536E">
        <w:rPr>
          <w:rFonts w:ascii="Helvetica" w:hAnsi="Helvetica" w:cs="Arial"/>
          <w:i/>
          <w:lang w:eastAsia="zh-CN"/>
        </w:rPr>
        <w:t>SLC37A3</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HEK 293T cells to nitrogen-containing-bisphosphonates (</w:t>
      </w:r>
      <w:r w:rsidR="00E565CE" w:rsidRPr="005A536E">
        <w:rPr>
          <w:rFonts w:ascii="Helvetica" w:hAnsi="Helvetica" w:cs="Arial"/>
          <w:b/>
          <w:lang w:eastAsia="zh-CN"/>
        </w:rPr>
        <w:t>E</w:t>
      </w:r>
      <w:r w:rsidR="00E565CE" w:rsidRPr="005A536E">
        <w:rPr>
          <w:rFonts w:ascii="Helvetica" w:hAnsi="Helvetica" w:cs="Arial"/>
          <w:lang w:eastAsia="zh-CN"/>
        </w:rPr>
        <w:t>) and non-nitrogen-containing-bisphosphonates (</w:t>
      </w:r>
      <w:r w:rsidR="00E565CE" w:rsidRPr="005A536E">
        <w:rPr>
          <w:rFonts w:ascii="Helvetica" w:hAnsi="Helvetica" w:cs="Arial"/>
          <w:b/>
          <w:lang w:eastAsia="zh-CN"/>
        </w:rPr>
        <w:t>F</w:t>
      </w:r>
      <w:r w:rsidR="00E565CE" w:rsidRPr="005A536E">
        <w:rPr>
          <w:rFonts w:ascii="Helvetica" w:hAnsi="Helvetica" w:cs="Arial"/>
          <w:lang w:eastAsia="zh-CN"/>
        </w:rPr>
        <w:t>). (</w:t>
      </w:r>
      <w:r w:rsidR="00E565CE" w:rsidRPr="005A536E">
        <w:rPr>
          <w:rFonts w:ascii="Helvetica" w:hAnsi="Helvetica" w:cs="Arial"/>
          <w:b/>
          <w:lang w:eastAsia="zh-CN"/>
        </w:rPr>
        <w:t>G</w:t>
      </w:r>
      <w:r w:rsidR="00E565CE" w:rsidRPr="005A536E">
        <w:rPr>
          <w:rFonts w:ascii="Helvetica" w:hAnsi="Helvetica" w:cs="Arial"/>
          <w:lang w:eastAsia="zh-CN"/>
        </w:rPr>
        <w:t>-</w:t>
      </w:r>
      <w:r w:rsidR="00E565CE" w:rsidRPr="005A536E">
        <w:rPr>
          <w:rFonts w:ascii="Helvetica" w:hAnsi="Helvetica" w:cs="Arial"/>
          <w:b/>
          <w:lang w:eastAsia="zh-CN"/>
        </w:rPr>
        <w:t>H</w:t>
      </w:r>
      <w:r w:rsidR="00E565CE" w:rsidRPr="005A536E">
        <w:rPr>
          <w:rFonts w:ascii="Helvetica" w:hAnsi="Helvetica" w:cs="Arial"/>
          <w:lang w:eastAsia="zh-CN"/>
        </w:rPr>
        <w:t xml:space="preserve">) Dose response curves of wild-type, </w:t>
      </w:r>
      <w:r w:rsidR="00E565CE" w:rsidRPr="005A536E">
        <w:rPr>
          <w:rFonts w:ascii="Helvetica" w:hAnsi="Helvetica" w:cs="Arial"/>
          <w:i/>
          <w:lang w:eastAsia="zh-CN"/>
        </w:rPr>
        <w:t>ATRAID</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and </w:t>
      </w:r>
      <w:r w:rsidR="00E565CE" w:rsidRPr="005A536E">
        <w:rPr>
          <w:rFonts w:ascii="Helvetica" w:hAnsi="Helvetica" w:cs="Arial"/>
          <w:i/>
          <w:lang w:eastAsia="zh-CN"/>
        </w:rPr>
        <w:t>SLC37A3</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K562 cells (</w:t>
      </w:r>
      <w:r w:rsidR="00E565CE" w:rsidRPr="005A536E">
        <w:rPr>
          <w:rFonts w:ascii="Helvetica" w:hAnsi="Helvetica" w:cs="Arial"/>
          <w:b/>
          <w:lang w:eastAsia="zh-CN"/>
        </w:rPr>
        <w:t>G</w:t>
      </w:r>
      <w:r w:rsidR="00E565CE" w:rsidRPr="005A536E">
        <w:rPr>
          <w:rFonts w:ascii="Helvetica" w:hAnsi="Helvetica" w:cs="Arial"/>
          <w:lang w:eastAsia="zh-CN"/>
        </w:rPr>
        <w:t>) and HEK 293T cells (</w:t>
      </w:r>
      <w:r w:rsidR="00E565CE" w:rsidRPr="005A536E">
        <w:rPr>
          <w:rFonts w:ascii="Helvetica" w:hAnsi="Helvetica" w:cs="Arial"/>
          <w:b/>
          <w:lang w:eastAsia="zh-CN"/>
        </w:rPr>
        <w:t>H</w:t>
      </w:r>
      <w:r w:rsidR="00E565CE" w:rsidRPr="005A536E">
        <w:rPr>
          <w:rFonts w:ascii="Helvetica" w:hAnsi="Helvetica" w:cs="Arial"/>
          <w:lang w:eastAsia="zh-CN"/>
        </w:rPr>
        <w:t>) to lovastatin. (</w:t>
      </w:r>
      <w:r w:rsidR="00E565CE" w:rsidRPr="005A536E">
        <w:rPr>
          <w:rFonts w:ascii="Helvetica" w:hAnsi="Helvetica" w:cs="Arial"/>
          <w:b/>
          <w:lang w:eastAsia="zh-CN"/>
        </w:rPr>
        <w:t>I</w:t>
      </w:r>
      <w:r w:rsidR="00E565CE" w:rsidRPr="005A536E">
        <w:rPr>
          <w:rFonts w:ascii="Helvetica" w:hAnsi="Helvetica" w:cs="Arial"/>
          <w:lang w:eastAsia="zh-CN"/>
        </w:rPr>
        <w:t xml:space="preserve">) Immunoblots measuring lovastatin-induced reduction in protein </w:t>
      </w:r>
      <w:proofErr w:type="spellStart"/>
      <w:r w:rsidR="00E565CE" w:rsidRPr="005A536E">
        <w:rPr>
          <w:rFonts w:ascii="Helvetica" w:hAnsi="Helvetica" w:cs="Arial"/>
          <w:lang w:eastAsia="zh-CN"/>
        </w:rPr>
        <w:t>prenylation</w:t>
      </w:r>
      <w:proofErr w:type="spellEnd"/>
      <w:r w:rsidR="00E565CE" w:rsidRPr="005A536E">
        <w:rPr>
          <w:rFonts w:ascii="Helvetica" w:hAnsi="Helvetica" w:cs="Arial"/>
          <w:lang w:eastAsia="zh-CN"/>
        </w:rPr>
        <w:t xml:space="preserve"> in wild-type, </w:t>
      </w:r>
      <w:r w:rsidR="00E565CE" w:rsidRPr="005A536E">
        <w:rPr>
          <w:rFonts w:ascii="Helvetica" w:hAnsi="Helvetica" w:cs="Arial"/>
          <w:i/>
          <w:lang w:eastAsia="zh-CN"/>
        </w:rPr>
        <w:t>ATRAID</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and </w:t>
      </w:r>
      <w:r w:rsidR="00E565CE" w:rsidRPr="005A536E">
        <w:rPr>
          <w:rFonts w:ascii="Helvetica" w:hAnsi="Helvetica" w:cs="Arial"/>
          <w:i/>
          <w:lang w:eastAsia="zh-CN"/>
        </w:rPr>
        <w:t>SLC37A3</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K562 cells and HEK 293T cells. (</w:t>
      </w:r>
      <w:r w:rsidR="00E565CE" w:rsidRPr="005A536E">
        <w:rPr>
          <w:rFonts w:ascii="Helvetica" w:hAnsi="Helvetica" w:cs="Arial"/>
          <w:b/>
          <w:lang w:eastAsia="zh-CN"/>
        </w:rPr>
        <w:t>J</w:t>
      </w:r>
      <w:r w:rsidR="00E565CE" w:rsidRPr="005A536E">
        <w:rPr>
          <w:rFonts w:ascii="Helvetica" w:hAnsi="Helvetica" w:cs="Arial"/>
          <w:lang w:eastAsia="zh-CN"/>
        </w:rPr>
        <w:t>) Dose response to alendronate in KO</w:t>
      </w:r>
      <w:r w:rsidR="00E565CE" w:rsidRPr="005A536E">
        <w:rPr>
          <w:rFonts w:ascii="Helvetica" w:hAnsi="Helvetica" w:cs="Arial"/>
          <w:vertAlign w:val="superscript"/>
          <w:lang w:eastAsia="zh-CN"/>
        </w:rPr>
        <w:t>2</w:t>
      </w:r>
      <w:r w:rsidR="00E565CE" w:rsidRPr="005A536E">
        <w:rPr>
          <w:rFonts w:ascii="Helvetica" w:hAnsi="Helvetica" w:cs="Arial"/>
          <w:lang w:eastAsia="zh-CN"/>
        </w:rPr>
        <w:t xml:space="preserve"> HEK 293T cells, compared with those in wild-type, </w:t>
      </w:r>
      <w:r w:rsidR="00E565CE" w:rsidRPr="005A536E">
        <w:rPr>
          <w:rFonts w:ascii="Helvetica" w:hAnsi="Helvetica" w:cs="Arial"/>
          <w:i/>
          <w:lang w:eastAsia="zh-CN"/>
        </w:rPr>
        <w:t>ATRAID</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and </w:t>
      </w:r>
      <w:r w:rsidR="00E565CE" w:rsidRPr="005A536E">
        <w:rPr>
          <w:rFonts w:ascii="Helvetica" w:hAnsi="Helvetica" w:cs="Arial"/>
          <w:i/>
          <w:lang w:eastAsia="zh-CN"/>
        </w:rPr>
        <w:t>SLC37A3</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cells.</w:t>
      </w:r>
      <w:r w:rsidR="00E565CE" w:rsidRPr="005A536E">
        <w:rPr>
          <w:rFonts w:ascii="Helvetica" w:hAnsi="Helvetica" w:cs="Arial"/>
          <w:b/>
          <w:lang w:eastAsia="zh-CN"/>
        </w:rPr>
        <w:t xml:space="preserve"> </w:t>
      </w:r>
      <w:r w:rsidR="00E565CE" w:rsidRPr="005A536E">
        <w:rPr>
          <w:rFonts w:ascii="Helvetica" w:hAnsi="Helvetica" w:cs="Arial"/>
          <w:lang w:eastAsia="zh-CN"/>
        </w:rPr>
        <w:t xml:space="preserve">For </w:t>
      </w:r>
      <w:r w:rsidR="00E565CE" w:rsidRPr="005A536E">
        <w:rPr>
          <w:rFonts w:ascii="Helvetica" w:hAnsi="Helvetica" w:cs="Arial"/>
          <w:b/>
          <w:lang w:eastAsia="zh-CN"/>
        </w:rPr>
        <w:t>B</w:t>
      </w:r>
      <w:r w:rsidR="00E565CE" w:rsidRPr="005A536E">
        <w:rPr>
          <w:rFonts w:ascii="Helvetica" w:hAnsi="Helvetica" w:cs="Arial"/>
          <w:lang w:eastAsia="zh-CN"/>
        </w:rPr>
        <w:t>-</w:t>
      </w:r>
      <w:r w:rsidR="00E565CE" w:rsidRPr="005A536E">
        <w:rPr>
          <w:rFonts w:ascii="Helvetica" w:hAnsi="Helvetica" w:cs="Arial"/>
          <w:b/>
          <w:lang w:eastAsia="zh-CN"/>
        </w:rPr>
        <w:t>C</w:t>
      </w:r>
      <w:r w:rsidR="00E565CE" w:rsidRPr="005A536E">
        <w:rPr>
          <w:rFonts w:ascii="Helvetica" w:hAnsi="Helvetica" w:cs="Arial"/>
          <w:lang w:eastAsia="zh-CN"/>
        </w:rPr>
        <w:t xml:space="preserve">, </w:t>
      </w:r>
      <w:r w:rsidR="00E565CE" w:rsidRPr="005A536E">
        <w:rPr>
          <w:rFonts w:ascii="Helvetica" w:hAnsi="Helvetica" w:cs="Arial"/>
          <w:b/>
          <w:lang w:eastAsia="zh-CN"/>
        </w:rPr>
        <w:t>E</w:t>
      </w:r>
      <w:r w:rsidR="00E565CE" w:rsidRPr="005A536E">
        <w:rPr>
          <w:rFonts w:ascii="Helvetica" w:hAnsi="Helvetica" w:cs="Arial"/>
          <w:lang w:eastAsia="zh-CN"/>
        </w:rPr>
        <w:t>-</w:t>
      </w:r>
      <w:r w:rsidR="00E565CE" w:rsidRPr="005A536E">
        <w:rPr>
          <w:rFonts w:ascii="Helvetica" w:hAnsi="Helvetica" w:cs="Arial"/>
          <w:b/>
          <w:lang w:eastAsia="zh-CN"/>
        </w:rPr>
        <w:t>H</w:t>
      </w:r>
      <w:r w:rsidR="00E565CE" w:rsidRPr="005A536E">
        <w:rPr>
          <w:rFonts w:ascii="Helvetica" w:hAnsi="Helvetica" w:cs="Arial"/>
          <w:lang w:eastAsia="zh-CN"/>
        </w:rPr>
        <w:t xml:space="preserve"> and </w:t>
      </w:r>
      <w:r w:rsidR="00E565CE" w:rsidRPr="005A536E">
        <w:rPr>
          <w:rFonts w:ascii="Helvetica" w:hAnsi="Helvetica" w:cs="Arial"/>
          <w:b/>
          <w:lang w:eastAsia="zh-CN"/>
        </w:rPr>
        <w:t>J</w:t>
      </w:r>
      <w:r w:rsidR="00E565CE" w:rsidRPr="005A536E">
        <w:rPr>
          <w:rFonts w:ascii="Helvetica" w:hAnsi="Helvetica" w:cs="Arial"/>
          <w:lang w:eastAsia="zh-CN"/>
        </w:rPr>
        <w:t xml:space="preserve">, data depict mean with </w:t>
      </w:r>
      <w:proofErr w:type="spellStart"/>
      <w:r w:rsidR="00E565CE" w:rsidRPr="005A536E">
        <w:rPr>
          <w:rFonts w:ascii="Helvetica" w:hAnsi="Helvetica" w:cs="Arial"/>
          <w:lang w:eastAsia="zh-CN"/>
        </w:rPr>
        <w:t>s.d.</w:t>
      </w:r>
      <w:proofErr w:type="spellEnd"/>
      <w:r w:rsidR="00E565CE" w:rsidRPr="005A536E">
        <w:rPr>
          <w:rFonts w:ascii="Helvetica" w:hAnsi="Helvetica" w:cs="Arial"/>
          <w:lang w:eastAsia="zh-CN"/>
        </w:rPr>
        <w:t xml:space="preserve"> for biological triplicate measurements. LOV: lovastatin. KO</w:t>
      </w:r>
      <w:r w:rsidR="00E565CE" w:rsidRPr="005A536E">
        <w:rPr>
          <w:rFonts w:ascii="Helvetica" w:hAnsi="Helvetica" w:cs="Arial"/>
          <w:vertAlign w:val="superscript"/>
          <w:lang w:eastAsia="zh-CN"/>
        </w:rPr>
        <w:t>2</w:t>
      </w:r>
      <w:r w:rsidR="00E565CE" w:rsidRPr="005A536E">
        <w:rPr>
          <w:rFonts w:ascii="Helvetica" w:hAnsi="Helvetica" w:cs="Arial"/>
          <w:lang w:eastAsia="zh-CN"/>
        </w:rPr>
        <w:t xml:space="preserve">: </w:t>
      </w:r>
      <w:r w:rsidR="00E565CE" w:rsidRPr="005A536E">
        <w:rPr>
          <w:rFonts w:ascii="Helvetica" w:hAnsi="Helvetica" w:cs="Arial"/>
          <w:i/>
          <w:lang w:eastAsia="zh-CN"/>
        </w:rPr>
        <w:t>ATRAID</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w:t>
      </w:r>
      <w:r w:rsidR="00E565CE" w:rsidRPr="005A536E">
        <w:rPr>
          <w:rFonts w:ascii="Helvetica" w:hAnsi="Helvetica" w:cs="Arial"/>
          <w:i/>
          <w:lang w:eastAsia="zh-CN"/>
        </w:rPr>
        <w:t>SLC37A3</w:t>
      </w:r>
      <w:r w:rsidR="00E565CE" w:rsidRPr="005A536E">
        <w:rPr>
          <w:rFonts w:ascii="Helvetica" w:hAnsi="Helvetica" w:cs="Arial"/>
          <w:vertAlign w:val="superscript"/>
          <w:lang w:eastAsia="zh-CN"/>
        </w:rPr>
        <w:t>KO</w:t>
      </w:r>
      <w:r w:rsidR="00E565CE" w:rsidRPr="005A536E">
        <w:rPr>
          <w:rFonts w:ascii="Helvetica" w:hAnsi="Helvetica" w:cs="Arial"/>
          <w:lang w:eastAsia="zh-CN"/>
        </w:rPr>
        <w:t xml:space="preserve">. </w:t>
      </w:r>
      <w:proofErr w:type="spellStart"/>
      <w:r w:rsidR="00E565CE" w:rsidRPr="005A536E">
        <w:rPr>
          <w:rFonts w:ascii="Helvetica" w:hAnsi="Helvetica" w:cs="Arial"/>
          <w:lang w:eastAsia="zh-CN"/>
        </w:rPr>
        <w:t>PNGase</w:t>
      </w:r>
      <w:proofErr w:type="spellEnd"/>
      <w:r w:rsidR="00E565CE" w:rsidRPr="005A536E">
        <w:rPr>
          <w:rFonts w:ascii="Helvetica" w:hAnsi="Helvetica" w:cs="Arial"/>
          <w:lang w:eastAsia="zh-CN"/>
        </w:rPr>
        <w:t xml:space="preserve"> F: peptide: N-glycosidase F, an enzyme that removes asparagine (N)-linked sugar modifications on glycoproteins.</w:t>
      </w:r>
    </w:p>
    <w:p w:rsidR="00E565CE" w:rsidRDefault="00E565CE"/>
    <w:sectPr w:rsidR="00E565C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65CE"/>
    <w:rsid w:val="00A56771"/>
    <w:rsid w:val="00D67677"/>
    <w:rsid w:val="00E565CE"/>
    <w:rsid w:val="00FA5C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30"/>
  <w15:chartTrackingRefBased/>
  <w15:docId w15:val="{1D428661-E6C7-4461-A285-42CDD3547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263</Words>
  <Characters>1501</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 Zhou</dc:creator>
  <cp:keywords/>
  <dc:description/>
  <cp:lastModifiedBy>Yu, Zhou</cp:lastModifiedBy>
  <cp:revision>3</cp:revision>
  <dcterms:created xsi:type="dcterms:W3CDTF">2018-03-26T13:57:00Z</dcterms:created>
  <dcterms:modified xsi:type="dcterms:W3CDTF">2018-05-01T22:43:00Z</dcterms:modified>
</cp:coreProperties>
</file>