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6771" w:rsidRDefault="0036288D">
      <w:bookmarkStart w:id="0" w:name="_GoBack"/>
      <w:r>
        <w:rPr>
          <w:rFonts w:ascii="Helvetica" w:hAnsi="Helvetica" w:cs="Arial"/>
          <w:noProof/>
        </w:rPr>
        <w:drawing>
          <wp:inline distT="0" distB="0" distL="0" distR="0" wp14:anchorId="12601375" wp14:editId="0AD72887">
            <wp:extent cx="5943600" cy="718756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S5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476" cy="718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36288D" w:rsidRPr="0036288D" w:rsidRDefault="0036288D" w:rsidP="0036288D">
      <w:pPr>
        <w:jc w:val="both"/>
        <w:rPr>
          <w:rFonts w:ascii="Helvetica" w:hAnsi="Helvetica" w:cs="Arial"/>
          <w:lang w:eastAsia="zh-CN"/>
        </w:rPr>
      </w:pPr>
      <w:r>
        <w:rPr>
          <w:rFonts w:ascii="Helvetica" w:hAnsi="Helvetica" w:cs="Arial"/>
          <w:b/>
          <w:lang w:eastAsia="zh-CN"/>
        </w:rPr>
        <w:t>Figure 3 – figure supplement 2</w:t>
      </w:r>
      <w:r w:rsidRPr="005A536E">
        <w:rPr>
          <w:rFonts w:ascii="Helvetica" w:hAnsi="Helvetica" w:cs="Arial"/>
          <w:b/>
          <w:lang w:eastAsia="zh-CN"/>
        </w:rPr>
        <w:t xml:space="preserve"> Additional evidence supporting that SLC37A3 and ATRAID depend on each other for stable expression. </w:t>
      </w:r>
      <w:r w:rsidRPr="005A536E">
        <w:rPr>
          <w:rFonts w:ascii="Helvetica" w:hAnsi="Helvetica" w:cs="Arial"/>
          <w:lang w:eastAsia="zh-CN"/>
        </w:rPr>
        <w:t>(</w:t>
      </w:r>
      <w:r w:rsidRPr="005A536E">
        <w:rPr>
          <w:rFonts w:ascii="Helvetica" w:hAnsi="Helvetica" w:cs="Arial"/>
          <w:b/>
          <w:lang w:eastAsia="zh-CN"/>
        </w:rPr>
        <w:t>A</w:t>
      </w:r>
      <w:r w:rsidRPr="005A536E">
        <w:rPr>
          <w:rFonts w:ascii="Helvetica" w:hAnsi="Helvetica" w:cs="Arial"/>
          <w:lang w:eastAsia="zh-CN"/>
        </w:rPr>
        <w:t>-</w:t>
      </w:r>
      <w:r w:rsidRPr="005A536E">
        <w:rPr>
          <w:rFonts w:ascii="Helvetica" w:hAnsi="Helvetica" w:cs="Arial"/>
          <w:b/>
          <w:lang w:eastAsia="zh-CN"/>
        </w:rPr>
        <w:t>C</w:t>
      </w:r>
      <w:r w:rsidRPr="005A536E">
        <w:rPr>
          <w:rFonts w:ascii="Helvetica" w:hAnsi="Helvetica" w:cs="Arial"/>
          <w:lang w:eastAsia="zh-CN"/>
        </w:rPr>
        <w:t>) Analysis of</w:t>
      </w:r>
      <w:r w:rsidRPr="005A536E">
        <w:rPr>
          <w:rFonts w:ascii="Helvetica" w:hAnsi="Helvetica" w:cs="Arial"/>
          <w:b/>
          <w:lang w:eastAsia="zh-CN"/>
        </w:rPr>
        <w:t xml:space="preserve"> </w:t>
      </w:r>
      <w:r w:rsidRPr="005A536E">
        <w:rPr>
          <w:rFonts w:ascii="Helvetica" w:hAnsi="Helvetica" w:cs="Arial"/>
          <w:lang w:eastAsia="zh-CN"/>
        </w:rPr>
        <w:t>IF images comparing the expression levels of SLC37A3-HA (</w:t>
      </w:r>
      <w:r w:rsidRPr="005A536E">
        <w:rPr>
          <w:rFonts w:ascii="Helvetica" w:hAnsi="Helvetica" w:cs="Arial"/>
          <w:b/>
          <w:lang w:eastAsia="zh-CN"/>
        </w:rPr>
        <w:t>A</w:t>
      </w:r>
      <w:r w:rsidRPr="005A536E">
        <w:rPr>
          <w:rFonts w:ascii="Helvetica" w:hAnsi="Helvetica" w:cs="Arial"/>
          <w:lang w:eastAsia="zh-CN"/>
        </w:rPr>
        <w:t>) or both isoforms of ATRAID-V5 (</w:t>
      </w:r>
      <w:r w:rsidRPr="005A536E">
        <w:rPr>
          <w:rFonts w:ascii="Helvetica" w:hAnsi="Helvetica" w:cs="Arial"/>
          <w:b/>
          <w:lang w:eastAsia="zh-CN"/>
        </w:rPr>
        <w:t>B</w:t>
      </w:r>
      <w:r w:rsidRPr="005A536E">
        <w:rPr>
          <w:rFonts w:ascii="Helvetica" w:hAnsi="Helvetica" w:cs="Arial"/>
          <w:lang w:eastAsia="zh-CN"/>
        </w:rPr>
        <w:t xml:space="preserve"> and </w:t>
      </w:r>
      <w:r w:rsidRPr="005A536E">
        <w:rPr>
          <w:rFonts w:ascii="Helvetica" w:hAnsi="Helvetica" w:cs="Arial"/>
          <w:b/>
          <w:lang w:eastAsia="zh-CN"/>
        </w:rPr>
        <w:t>C</w:t>
      </w:r>
      <w:r w:rsidRPr="005A536E">
        <w:rPr>
          <w:rFonts w:ascii="Helvetica" w:hAnsi="Helvetica" w:cs="Arial"/>
          <w:lang w:eastAsia="zh-CN"/>
        </w:rPr>
        <w:t>) in their respective single knockout backgrounds and the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 background. The two images in each sub-figure were acquired with the same setting and adjusted to the same contrast. In each image a background </w:t>
      </w:r>
      <w:r w:rsidRPr="005A536E">
        <w:rPr>
          <w:rFonts w:ascii="Helvetica" w:hAnsi="Helvetica" w:cs="Arial"/>
          <w:lang w:eastAsia="zh-CN"/>
        </w:rPr>
        <w:lastRenderedPageBreak/>
        <w:t>area (turquoise or blue, inside nuclei, where no stain should be present) and a signal area (orange or red) were selected and the distribution of pixel values within each area was plotted in a histogram. The outlines in the histogram are color-coded to match the boarders of selected areas. (</w:t>
      </w:r>
      <w:r w:rsidRPr="005A536E">
        <w:rPr>
          <w:rFonts w:ascii="Helvetica" w:hAnsi="Helvetica" w:cs="Arial"/>
          <w:b/>
          <w:lang w:eastAsia="zh-CN"/>
        </w:rPr>
        <w:t>D</w:t>
      </w:r>
      <w:r w:rsidRPr="005A536E">
        <w:rPr>
          <w:rFonts w:ascii="Helvetica" w:hAnsi="Helvetica" w:cs="Arial"/>
          <w:lang w:eastAsia="zh-CN"/>
        </w:rPr>
        <w:t>-</w:t>
      </w:r>
      <w:r w:rsidRPr="005A536E">
        <w:rPr>
          <w:rFonts w:ascii="Helvetica" w:hAnsi="Helvetica" w:cs="Arial"/>
          <w:b/>
          <w:lang w:eastAsia="zh-CN"/>
        </w:rPr>
        <w:t>E</w:t>
      </w:r>
      <w:r w:rsidRPr="005A536E">
        <w:rPr>
          <w:rFonts w:ascii="Helvetica" w:hAnsi="Helvetica" w:cs="Arial"/>
          <w:lang w:eastAsia="zh-CN"/>
        </w:rPr>
        <w:t>)</w:t>
      </w:r>
      <w:r w:rsidRPr="005A536E">
        <w:rPr>
          <w:rFonts w:ascii="Helvetica" w:hAnsi="Helvetica" w:cs="Arial"/>
          <w:b/>
          <w:lang w:eastAsia="zh-CN"/>
        </w:rPr>
        <w:t xml:space="preserve"> </w:t>
      </w:r>
      <w:proofErr w:type="spellStart"/>
      <w:r w:rsidRPr="005A536E">
        <w:rPr>
          <w:rFonts w:ascii="Helvetica" w:hAnsi="Helvetica" w:cs="Arial"/>
          <w:lang w:eastAsia="zh-CN"/>
        </w:rPr>
        <w:t>Polysome</w:t>
      </w:r>
      <w:proofErr w:type="spellEnd"/>
      <w:r w:rsidRPr="005A536E">
        <w:rPr>
          <w:rFonts w:ascii="Helvetica" w:hAnsi="Helvetica" w:cs="Arial"/>
          <w:lang w:eastAsia="zh-CN"/>
        </w:rPr>
        <w:t xml:space="preserve"> profiling experiment assessing the translation efficiency of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lang w:eastAsia="zh-CN"/>
        </w:rPr>
        <w:t xml:space="preserve"> transcripts in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and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 backgrounds. Lysates from indicated cell lines were analyzed on a gradient station and fractionated into five fractions: untranslated transcripts (UT), small and large ribosome subunits (SL), lowly translated transcripts (LT), medially translated transcripts (MT) and highly translated transcripts (HT). The level of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lang w:eastAsia="zh-CN"/>
        </w:rPr>
        <w:t xml:space="preserve"> transcripts relative to the level of </w:t>
      </w:r>
      <w:r w:rsidRPr="005A536E">
        <w:rPr>
          <w:rFonts w:ascii="Helvetica" w:hAnsi="Helvetica" w:cs="Arial"/>
          <w:i/>
          <w:lang w:eastAsia="zh-CN"/>
        </w:rPr>
        <w:t>TBP</w:t>
      </w:r>
      <w:r w:rsidRPr="005A536E">
        <w:rPr>
          <w:rFonts w:ascii="Helvetica" w:hAnsi="Helvetica" w:cs="Arial"/>
          <w:lang w:eastAsia="zh-CN"/>
        </w:rPr>
        <w:t xml:space="preserve"> (TATA-binding protein) transcripts in each fraction was measured and plotted. The SL fraction was excluded from the analysis. A total RNA fraction was included as a reference. No overall shift was observed in the distribution of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lang w:eastAsia="zh-CN"/>
        </w:rPr>
        <w:t xml:space="preserve"> transcripts in the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 background compared to that in the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background, suggesting that the translation efficiency of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lang w:eastAsia="zh-CN"/>
        </w:rPr>
        <w:t xml:space="preserve"> is not affected by the absence of </w:t>
      </w:r>
      <w:r w:rsidRPr="005A536E">
        <w:rPr>
          <w:rFonts w:ascii="Helvetica" w:hAnsi="Helvetica" w:cs="Arial"/>
          <w:i/>
          <w:lang w:eastAsia="zh-CN"/>
        </w:rPr>
        <w:t>ATRAID</w:t>
      </w:r>
      <w:r w:rsidRPr="005A536E">
        <w:rPr>
          <w:rFonts w:ascii="Helvetica" w:hAnsi="Helvetica" w:cs="Arial"/>
          <w:lang w:eastAsia="zh-CN"/>
        </w:rPr>
        <w:t>. (</w:t>
      </w:r>
      <w:r w:rsidRPr="005A536E">
        <w:rPr>
          <w:rFonts w:ascii="Helvetica" w:hAnsi="Helvetica" w:cs="Arial"/>
          <w:b/>
          <w:lang w:eastAsia="zh-CN"/>
        </w:rPr>
        <w:t>F</w:t>
      </w:r>
      <w:r w:rsidRPr="005A536E">
        <w:rPr>
          <w:rFonts w:ascii="Helvetica" w:hAnsi="Helvetica" w:cs="Arial"/>
          <w:lang w:eastAsia="zh-CN"/>
        </w:rPr>
        <w:t xml:space="preserve">) Immunoblot comparing the glycosylation patterns of SLC37A3 in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and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 backgrounds. Lysates from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 + SLC37A3-HA (lane 1-3) and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 + SLC37A3-HA (lane 4-6) HEK 293T cells were left untreated (lane 1 and 4), treated with </w:t>
      </w:r>
      <w:proofErr w:type="spellStart"/>
      <w:r w:rsidRPr="005A536E">
        <w:rPr>
          <w:rFonts w:ascii="Helvetica" w:hAnsi="Helvetica" w:cs="Arial"/>
          <w:lang w:eastAsia="zh-CN"/>
        </w:rPr>
        <w:t>PNGase</w:t>
      </w:r>
      <w:proofErr w:type="spellEnd"/>
      <w:r w:rsidRPr="005A536E">
        <w:rPr>
          <w:rFonts w:ascii="Helvetica" w:hAnsi="Helvetica" w:cs="Arial"/>
          <w:lang w:eastAsia="zh-CN"/>
        </w:rPr>
        <w:t>-F (lane 2 and 5), or with Endo H (lane 3 and 6). The band corresponding to an un-glycosylated population of SLC37A3 that is present in the absence of ATRAID but not in the presence of ATRA</w:t>
      </w:r>
      <w:r w:rsidR="006B1FC8">
        <w:rPr>
          <w:rFonts w:ascii="Helvetica" w:hAnsi="Helvetica" w:cs="Arial"/>
          <w:lang w:eastAsia="zh-CN"/>
        </w:rPr>
        <w:t>I</w:t>
      </w:r>
      <w:r w:rsidRPr="005A536E">
        <w:rPr>
          <w:rFonts w:ascii="Helvetica" w:hAnsi="Helvetica" w:cs="Arial"/>
          <w:lang w:eastAsia="zh-CN"/>
        </w:rPr>
        <w:t>D is marked with an asterisk. (</w:t>
      </w:r>
      <w:r w:rsidRPr="005A536E">
        <w:rPr>
          <w:rFonts w:ascii="Helvetica" w:hAnsi="Helvetica" w:cs="Arial"/>
          <w:b/>
          <w:lang w:eastAsia="zh-CN"/>
        </w:rPr>
        <w:t>G</w:t>
      </w:r>
      <w:r w:rsidRPr="005A536E">
        <w:rPr>
          <w:rFonts w:ascii="Helvetica" w:hAnsi="Helvetica" w:cs="Arial"/>
          <w:lang w:eastAsia="zh-CN"/>
        </w:rPr>
        <w:t>) Immunoblot comparing the glycosylation patterns of total cellular SLC37A3 and the sub-population of SLC37A3 that interacts with ATRAID. In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 HEK 293T cells over-expressing SLC37A3-HA and sATRAID-V5, proteins that interact with sATRAID-V5 were purified with immuno-precipitation against V5 epitope and compared with total proteins in the lysate. The pre-IP total lysate (lane 1-2) and anti-V5 IP eluate (lane 3-4) were either left untreated (lane 1 and 3) or treated with </w:t>
      </w:r>
      <w:proofErr w:type="spellStart"/>
      <w:r w:rsidRPr="005A536E">
        <w:rPr>
          <w:rFonts w:ascii="Helvetica" w:hAnsi="Helvetica" w:cs="Arial"/>
          <w:lang w:eastAsia="zh-CN"/>
        </w:rPr>
        <w:t>PNGase</w:t>
      </w:r>
      <w:proofErr w:type="spellEnd"/>
      <w:r w:rsidRPr="005A536E">
        <w:rPr>
          <w:rFonts w:ascii="Helvetica" w:hAnsi="Helvetica" w:cs="Arial"/>
          <w:lang w:eastAsia="zh-CN"/>
        </w:rPr>
        <w:t xml:space="preserve"> F (lane 2 and 4) and analyzed by blotting against SLC37A3-HA. IF: immunofluorescence. IB: immunoblot. KO</w:t>
      </w:r>
      <w:r w:rsidRPr="005A536E">
        <w:rPr>
          <w:rFonts w:ascii="Helvetica" w:hAnsi="Helvetica" w:cs="Arial"/>
          <w:vertAlign w:val="superscript"/>
          <w:lang w:eastAsia="zh-CN"/>
        </w:rPr>
        <w:t>2</w:t>
      </w:r>
      <w:r w:rsidRPr="005A536E">
        <w:rPr>
          <w:rFonts w:ascii="Helvetica" w:hAnsi="Helvetica" w:cs="Arial"/>
          <w:lang w:eastAsia="zh-CN"/>
        </w:rPr>
        <w:t xml:space="preserve">:  </w:t>
      </w:r>
      <w:r w:rsidRPr="005A536E">
        <w:rPr>
          <w:rFonts w:ascii="Helvetica" w:hAnsi="Helvetica" w:cs="Arial"/>
          <w:i/>
          <w:lang w:eastAsia="zh-CN"/>
        </w:rPr>
        <w:t>ATRAID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; </w:t>
      </w:r>
      <w:r w:rsidRPr="005A536E">
        <w:rPr>
          <w:rFonts w:ascii="Helvetica" w:hAnsi="Helvetica" w:cs="Arial"/>
          <w:i/>
          <w:lang w:eastAsia="zh-CN"/>
        </w:rPr>
        <w:t>SLC37A3</w:t>
      </w:r>
      <w:r w:rsidRPr="005A536E">
        <w:rPr>
          <w:rFonts w:ascii="Helvetica" w:hAnsi="Helvetica" w:cs="Arial"/>
          <w:vertAlign w:val="superscript"/>
          <w:lang w:eastAsia="zh-CN"/>
        </w:rPr>
        <w:t>KO</w:t>
      </w:r>
      <w:r w:rsidRPr="005A536E">
        <w:rPr>
          <w:rFonts w:ascii="Helvetica" w:hAnsi="Helvetica" w:cs="Arial"/>
          <w:lang w:eastAsia="zh-CN"/>
        </w:rPr>
        <w:t xml:space="preserve">. </w:t>
      </w:r>
      <w:proofErr w:type="spellStart"/>
      <w:r w:rsidRPr="005A536E">
        <w:rPr>
          <w:rFonts w:ascii="Helvetica" w:hAnsi="Helvetica" w:cs="Arial"/>
          <w:lang w:eastAsia="zh-CN"/>
        </w:rPr>
        <w:t>PNGase</w:t>
      </w:r>
      <w:proofErr w:type="spellEnd"/>
      <w:r w:rsidRPr="005A536E">
        <w:rPr>
          <w:rFonts w:ascii="Helvetica" w:hAnsi="Helvetica" w:cs="Arial"/>
          <w:lang w:eastAsia="zh-CN"/>
        </w:rPr>
        <w:t xml:space="preserve"> F: peptide: N-glycosidase F, an enzyme that removes all asparagine (N)-linked sugar modifications from glycoproteins. Endo H: endoglycosidase H, an enzyme that only removes high mannose sugar moieties on ER glycoproteins that have not been processed by the Golgi apparatus.</w:t>
      </w:r>
    </w:p>
    <w:sectPr w:rsidR="0036288D" w:rsidRPr="0036288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288D"/>
    <w:rsid w:val="0036288D"/>
    <w:rsid w:val="004E7124"/>
    <w:rsid w:val="006B1FC8"/>
    <w:rsid w:val="00A56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30"/>
  <w15:chartTrackingRefBased/>
  <w15:docId w15:val="{DB4017C4-AC3E-4636-860B-D3B96224C1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447</Words>
  <Characters>2554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Yu, Zhou</dc:creator>
  <cp:keywords/>
  <dc:description/>
  <cp:lastModifiedBy>Yu, Zhou</cp:lastModifiedBy>
  <cp:revision>3</cp:revision>
  <dcterms:created xsi:type="dcterms:W3CDTF">2018-03-26T14:01:00Z</dcterms:created>
  <dcterms:modified xsi:type="dcterms:W3CDTF">2018-05-01T22:47:00Z</dcterms:modified>
</cp:coreProperties>
</file>