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56771" w:rsidRDefault="00663447">
      <w:bookmarkStart w:id="0" w:name="_GoBack"/>
      <w:r>
        <w:rPr>
          <w:rFonts w:ascii="Helvetica" w:hAnsi="Helvetica" w:cs="Arial"/>
          <w:b/>
          <w:noProof/>
        </w:rPr>
        <w:drawing>
          <wp:inline distT="0" distB="0" distL="0" distR="0" wp14:anchorId="3E093253" wp14:editId="01DC8228">
            <wp:extent cx="5786130" cy="2843789"/>
            <wp:effectExtent l="0" t="0" r="508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igure S6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6130" cy="2843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663447" w:rsidRPr="00663447" w:rsidRDefault="00663447" w:rsidP="00663447">
      <w:pPr>
        <w:jc w:val="both"/>
        <w:rPr>
          <w:rFonts w:ascii="Helvetica" w:hAnsi="Helvetica" w:cs="Helvetica"/>
          <w:szCs w:val="20"/>
          <w:vertAlign w:val="superscript"/>
          <w:lang w:eastAsia="zh-CN"/>
        </w:rPr>
      </w:pPr>
      <w:r>
        <w:rPr>
          <w:rFonts w:ascii="Helvetica" w:hAnsi="Helvetica" w:cs="Arial"/>
          <w:b/>
          <w:lang w:eastAsia="zh-CN"/>
        </w:rPr>
        <w:t xml:space="preserve">Figure 4 – figure supplement 1 </w:t>
      </w:r>
      <w:r w:rsidRPr="005A536E">
        <w:rPr>
          <w:rFonts w:ascii="Helvetica" w:hAnsi="Helvetica" w:cs="Arial"/>
          <w:b/>
          <w:lang w:eastAsia="zh-CN"/>
        </w:rPr>
        <w:t xml:space="preserve">Quality controls for the radioactive uptake assays. </w:t>
      </w:r>
      <w:r w:rsidRPr="005A536E">
        <w:rPr>
          <w:rFonts w:ascii="Helvetica" w:hAnsi="Helvetica" w:cs="Arial"/>
          <w:lang w:eastAsia="zh-CN"/>
        </w:rPr>
        <w:t>(</w:t>
      </w:r>
      <w:r w:rsidRPr="005A536E">
        <w:rPr>
          <w:rFonts w:ascii="Helvetica" w:hAnsi="Helvetica" w:cs="Arial"/>
          <w:b/>
          <w:lang w:eastAsia="zh-CN"/>
        </w:rPr>
        <w:t>A</w:t>
      </w:r>
      <w:r w:rsidRPr="005A536E">
        <w:rPr>
          <w:rFonts w:ascii="Helvetica" w:hAnsi="Helvetica" w:cs="Arial"/>
          <w:lang w:eastAsia="zh-CN"/>
        </w:rPr>
        <w:t>)</w:t>
      </w:r>
      <w:r w:rsidRPr="005A536E">
        <w:rPr>
          <w:rFonts w:ascii="Helvetica" w:hAnsi="Helvetica" w:cs="Arial"/>
          <w:b/>
          <w:lang w:eastAsia="zh-CN"/>
        </w:rPr>
        <w:t xml:space="preserve"> </w:t>
      </w:r>
      <w:r w:rsidRPr="005A536E">
        <w:rPr>
          <w:rFonts w:ascii="Helvetica" w:hAnsi="Helvetica" w:cs="Arial"/>
          <w:lang w:eastAsia="zh-CN"/>
        </w:rPr>
        <w:t xml:space="preserve">Immunoblot against markers for cytosol (GAPDH), plasma membrane (Caveolin1), early endosome (EEA1), lysosome (LAMP1), nucleosol (RaN-BP3), and </w:t>
      </w:r>
      <w:proofErr w:type="spellStart"/>
      <w:r w:rsidRPr="005A536E">
        <w:rPr>
          <w:rFonts w:ascii="Helvetica" w:hAnsi="Helvetica" w:cs="Arial"/>
          <w:lang w:eastAsia="zh-CN"/>
        </w:rPr>
        <w:t>nucleoskeleton</w:t>
      </w:r>
      <w:proofErr w:type="spellEnd"/>
      <w:r w:rsidRPr="005A536E">
        <w:rPr>
          <w:rFonts w:ascii="Helvetica" w:hAnsi="Helvetica" w:cs="Arial"/>
          <w:lang w:eastAsia="zh-CN"/>
        </w:rPr>
        <w:t xml:space="preserve"> (LaminB1) in cytosolic fractions and membranous fractions in wild-type, </w:t>
      </w:r>
      <w:r w:rsidRPr="005A536E">
        <w:rPr>
          <w:rFonts w:ascii="Helvetica" w:hAnsi="Helvetica" w:cs="Arial"/>
          <w:i/>
          <w:lang w:eastAsia="zh-CN"/>
        </w:rPr>
        <w:t>ATRAID</w:t>
      </w:r>
      <w:r w:rsidRPr="005A536E">
        <w:rPr>
          <w:rFonts w:ascii="Helvetica" w:hAnsi="Helvetica" w:cs="Arial"/>
          <w:vertAlign w:val="superscript"/>
          <w:lang w:eastAsia="zh-CN"/>
        </w:rPr>
        <w:t>KO</w:t>
      </w:r>
      <w:r w:rsidRPr="005A536E">
        <w:rPr>
          <w:rFonts w:ascii="Helvetica" w:hAnsi="Helvetica" w:cs="Arial"/>
          <w:lang w:eastAsia="zh-CN"/>
        </w:rPr>
        <w:t xml:space="preserve"> and </w:t>
      </w:r>
      <w:r w:rsidRPr="005A536E">
        <w:rPr>
          <w:rFonts w:ascii="Helvetica" w:hAnsi="Helvetica" w:cs="Arial"/>
          <w:i/>
          <w:lang w:eastAsia="zh-CN"/>
        </w:rPr>
        <w:t>SLC37A3</w:t>
      </w:r>
      <w:r w:rsidRPr="005A536E">
        <w:rPr>
          <w:rFonts w:ascii="Helvetica" w:hAnsi="Helvetica" w:cs="Arial"/>
          <w:vertAlign w:val="superscript"/>
          <w:lang w:eastAsia="zh-CN"/>
        </w:rPr>
        <w:t>KO</w:t>
      </w:r>
      <w:r w:rsidRPr="005A536E">
        <w:rPr>
          <w:rFonts w:ascii="Helvetica" w:hAnsi="Helvetica" w:cs="Arial"/>
          <w:lang w:eastAsia="zh-CN"/>
        </w:rPr>
        <w:t xml:space="preserve"> HEK 293T cells, demonstrating successful subcellular fractionation in the fractionation-based radioactive uptake assay. </w:t>
      </w:r>
      <w:proofErr w:type="spellStart"/>
      <w:r w:rsidRPr="005A536E">
        <w:rPr>
          <w:rFonts w:ascii="Helvetica" w:hAnsi="Helvetica" w:cs="Arial"/>
          <w:lang w:eastAsia="zh-CN"/>
        </w:rPr>
        <w:t>Cyt</w:t>
      </w:r>
      <w:proofErr w:type="spellEnd"/>
      <w:r w:rsidRPr="005A536E">
        <w:rPr>
          <w:rFonts w:ascii="Helvetica" w:hAnsi="Helvetica" w:cs="Arial"/>
          <w:lang w:eastAsia="zh-CN"/>
        </w:rPr>
        <w:t>: cytosolic fraction. Mem: membranous fraction. Tot: total cell lysate. (</w:t>
      </w:r>
      <w:r w:rsidRPr="005A536E">
        <w:rPr>
          <w:rFonts w:ascii="Helvetica" w:hAnsi="Helvetica" w:cs="Arial"/>
          <w:b/>
          <w:lang w:eastAsia="zh-CN"/>
        </w:rPr>
        <w:t>B</w:t>
      </w:r>
      <w:r w:rsidRPr="005A536E">
        <w:rPr>
          <w:rFonts w:ascii="Helvetica" w:hAnsi="Helvetica" w:cs="Arial"/>
          <w:lang w:eastAsia="zh-CN"/>
        </w:rPr>
        <w:t>-</w:t>
      </w:r>
      <w:r w:rsidRPr="005A536E">
        <w:rPr>
          <w:rFonts w:ascii="Helvetica" w:hAnsi="Helvetica" w:cs="Arial"/>
          <w:b/>
          <w:lang w:eastAsia="zh-CN"/>
        </w:rPr>
        <w:t>D</w:t>
      </w:r>
      <w:r w:rsidRPr="005A536E">
        <w:rPr>
          <w:rFonts w:ascii="Helvetica" w:hAnsi="Helvetica" w:cs="Arial"/>
          <w:lang w:eastAsia="zh-CN"/>
        </w:rPr>
        <w:t>) Localization of HA tagged TMEM192 (TMEM192-HA), a lysosomal protein we expressed in wild-type (</w:t>
      </w:r>
      <w:r w:rsidRPr="005A536E">
        <w:rPr>
          <w:rFonts w:ascii="Helvetica" w:hAnsi="Helvetica" w:cs="Arial"/>
          <w:b/>
          <w:lang w:eastAsia="zh-CN"/>
        </w:rPr>
        <w:t>B</w:t>
      </w:r>
      <w:r w:rsidRPr="005A536E">
        <w:rPr>
          <w:rFonts w:ascii="Helvetica" w:hAnsi="Helvetica" w:cs="Arial"/>
          <w:lang w:eastAsia="zh-CN"/>
        </w:rPr>
        <w:t>),</w:t>
      </w:r>
      <w:r w:rsidRPr="005A536E">
        <w:rPr>
          <w:rFonts w:ascii="Helvetica" w:hAnsi="Helvetica" w:cs="Arial"/>
          <w:i/>
          <w:lang w:eastAsia="zh-CN"/>
        </w:rPr>
        <w:t xml:space="preserve"> ATRAID</w:t>
      </w:r>
      <w:r w:rsidRPr="005A536E">
        <w:rPr>
          <w:rFonts w:ascii="Helvetica" w:hAnsi="Helvetica" w:cs="Arial"/>
          <w:vertAlign w:val="superscript"/>
          <w:lang w:eastAsia="zh-CN"/>
        </w:rPr>
        <w:t>KO</w:t>
      </w:r>
      <w:r w:rsidRPr="005A536E">
        <w:rPr>
          <w:rFonts w:ascii="Helvetica" w:hAnsi="Helvetica" w:cs="Arial"/>
          <w:lang w:eastAsia="zh-CN"/>
        </w:rPr>
        <w:t xml:space="preserve"> (</w:t>
      </w:r>
      <w:r w:rsidRPr="005A536E">
        <w:rPr>
          <w:rFonts w:ascii="Helvetica" w:hAnsi="Helvetica" w:cs="Arial"/>
          <w:b/>
          <w:lang w:eastAsia="zh-CN"/>
        </w:rPr>
        <w:t>C</w:t>
      </w:r>
      <w:r w:rsidRPr="005A536E">
        <w:rPr>
          <w:rFonts w:ascii="Helvetica" w:hAnsi="Helvetica" w:cs="Arial"/>
          <w:lang w:eastAsia="zh-CN"/>
        </w:rPr>
        <w:t xml:space="preserve">) and </w:t>
      </w:r>
      <w:r w:rsidRPr="005A536E">
        <w:rPr>
          <w:rFonts w:ascii="Helvetica" w:hAnsi="Helvetica" w:cs="Arial"/>
          <w:i/>
          <w:lang w:eastAsia="zh-CN"/>
        </w:rPr>
        <w:t>SLC37A3</w:t>
      </w:r>
      <w:r w:rsidRPr="005A536E">
        <w:rPr>
          <w:rFonts w:ascii="Helvetica" w:hAnsi="Helvetica" w:cs="Arial"/>
          <w:vertAlign w:val="superscript"/>
          <w:lang w:eastAsia="zh-CN"/>
        </w:rPr>
        <w:t>KO</w:t>
      </w:r>
      <w:r w:rsidRPr="005A536E">
        <w:rPr>
          <w:rFonts w:ascii="Helvetica" w:hAnsi="Helvetica" w:cs="Arial"/>
          <w:lang w:eastAsia="zh-CN"/>
        </w:rPr>
        <w:t xml:space="preserve"> (</w:t>
      </w:r>
      <w:r w:rsidRPr="005A536E">
        <w:rPr>
          <w:rFonts w:ascii="Helvetica" w:hAnsi="Helvetica" w:cs="Arial"/>
          <w:b/>
          <w:lang w:eastAsia="zh-CN"/>
        </w:rPr>
        <w:t>D</w:t>
      </w:r>
      <w:r w:rsidRPr="005A536E">
        <w:rPr>
          <w:rFonts w:ascii="Helvetica" w:hAnsi="Helvetica" w:cs="Arial"/>
          <w:lang w:eastAsia="zh-CN"/>
        </w:rPr>
        <w:t>) HEK 293T cells and used as a handle to immuno-precipitate lysosomes, shown with a lysosomal marker, LAMP2, demonstrating correct localization of TMEM192-HA to lysosomes and, consequently, successful purification of lysosomes in the lysosome-purification-based uptake assay. Scale bars represent 10 µm. Each image displayed is the representative example chosen from at least five similar images.</w:t>
      </w:r>
      <w:r w:rsidRPr="005A536E">
        <w:rPr>
          <w:rFonts w:ascii="Helvetica" w:hAnsi="Helvetica" w:cs="Times New Roman"/>
          <w:noProof/>
        </w:rPr>
        <w:fldChar w:fldCharType="begin"/>
      </w:r>
      <w:r w:rsidRPr="005A536E">
        <w:rPr>
          <w:rFonts w:ascii="Helvetica" w:hAnsi="Helvetica" w:cs="Times New Roman"/>
        </w:rPr>
        <w:instrText xml:space="preserve"> ADDIN EN.REFLIST </w:instrText>
      </w:r>
      <w:r w:rsidRPr="005A536E">
        <w:rPr>
          <w:rFonts w:ascii="Helvetica" w:hAnsi="Helvetica" w:cs="Times New Roman"/>
          <w:noProof/>
        </w:rPr>
        <w:fldChar w:fldCharType="end"/>
      </w:r>
    </w:p>
    <w:sectPr w:rsidR="00663447" w:rsidRPr="0066344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00000007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63447"/>
    <w:rsid w:val="00663447"/>
    <w:rsid w:val="008759AA"/>
    <w:rsid w:val="00A567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efaultImageDpi w14:val="330"/>
  <w15:chartTrackingRefBased/>
  <w15:docId w15:val="{432977C7-AE4E-43C4-BA77-33629ABDCF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162</Words>
  <Characters>926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Yu, Zhou</dc:creator>
  <cp:keywords/>
  <dc:description/>
  <cp:lastModifiedBy>Yu, Zhou</cp:lastModifiedBy>
  <cp:revision>2</cp:revision>
  <dcterms:created xsi:type="dcterms:W3CDTF">2018-03-26T14:04:00Z</dcterms:created>
  <dcterms:modified xsi:type="dcterms:W3CDTF">2018-05-01T22:48:00Z</dcterms:modified>
</cp:coreProperties>
</file>